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5EA5B" w14:textId="77777777" w:rsidR="0017131E" w:rsidRPr="0091661C" w:rsidRDefault="00000000" w:rsidP="00E667D3">
      <w:pPr>
        <w:spacing w:before="1440" w:after="80"/>
        <w:jc w:val="center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b/>
          <w:bCs/>
          <w:color w:val="2E5090"/>
          <w:sz w:val="72"/>
          <w:szCs w:val="72"/>
        </w:rPr>
        <w:t>CUSTOMER CHURN ANALYSIS</w:t>
      </w:r>
    </w:p>
    <w:p w14:paraId="6CFC70E2" w14:textId="77777777" w:rsidR="0017131E" w:rsidRPr="0091661C" w:rsidRDefault="00000000" w:rsidP="00E667D3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b/>
          <w:bCs/>
          <w:color w:val="2E5090"/>
          <w:sz w:val="72"/>
          <w:szCs w:val="72"/>
        </w:rPr>
        <w:t>&amp; RETENTION DASHBOARD</w:t>
      </w:r>
    </w:p>
    <w:p w14:paraId="2B838769" w14:textId="77777777" w:rsidR="0017131E" w:rsidRDefault="00000000" w:rsidP="00E667D3">
      <w:pPr>
        <w:pBdr>
          <w:bottom w:val="single" w:sz="8" w:space="0" w:color="2E5090"/>
        </w:pBdr>
        <w:spacing w:before="40" w:after="200"/>
        <w:jc w:val="center"/>
        <w:rPr>
          <w:rFonts w:ascii="Times New Roman" w:hAnsi="Times New Roman" w:cs="Times New Roman"/>
          <w:i/>
          <w:iCs/>
          <w:color w:val="6B7280"/>
          <w:sz w:val="28"/>
          <w:szCs w:val="28"/>
        </w:rPr>
      </w:pPr>
      <w:r w:rsidRPr="0091661C">
        <w:rPr>
          <w:rFonts w:ascii="Times New Roman" w:hAnsi="Times New Roman" w:cs="Times New Roman"/>
          <w:i/>
          <w:iCs/>
          <w:color w:val="6B7280"/>
          <w:sz w:val="28"/>
          <w:szCs w:val="28"/>
        </w:rPr>
        <w:t>Telecom Industry — Predictive Analytics Project</w:t>
      </w:r>
    </w:p>
    <w:p w14:paraId="1B4F6C40" w14:textId="77777777" w:rsidR="00E667D3" w:rsidRPr="0091661C" w:rsidRDefault="00E667D3" w:rsidP="00E667D3">
      <w:pPr>
        <w:pBdr>
          <w:bottom w:val="single" w:sz="8" w:space="0" w:color="2E5090"/>
        </w:pBdr>
        <w:spacing w:before="40" w:after="200"/>
        <w:jc w:val="center"/>
        <w:rPr>
          <w:rFonts w:ascii="Times New Roman" w:hAnsi="Times New Roman" w:cs="Times New Roman"/>
          <w:sz w:val="24"/>
          <w:szCs w:val="24"/>
        </w:rPr>
      </w:pPr>
    </w:p>
    <w:p w14:paraId="4640CD24" w14:textId="77777777" w:rsidR="00E667D3" w:rsidRDefault="00E667D3" w:rsidP="00E667D3">
      <w:pPr>
        <w:spacing w:before="240" w:after="80"/>
        <w:rPr>
          <w:rFonts w:ascii="Times New Roman" w:hAnsi="Times New Roman" w:cs="Times New Roman"/>
          <w:b/>
          <w:bCs/>
          <w:sz w:val="32"/>
          <w:szCs w:val="32"/>
        </w:rPr>
      </w:pPr>
    </w:p>
    <w:p w14:paraId="6FEEA3FA" w14:textId="3E6F1336" w:rsidR="0017131E" w:rsidRPr="00E667D3" w:rsidRDefault="00000000" w:rsidP="00E667D3">
      <w:pPr>
        <w:spacing w:before="240" w:after="80"/>
        <w:jc w:val="center"/>
        <w:rPr>
          <w:rFonts w:ascii="Times New Roman" w:hAnsi="Times New Roman" w:cs="Times New Roman"/>
          <w:sz w:val="32"/>
          <w:szCs w:val="32"/>
        </w:rPr>
      </w:pPr>
      <w:r w:rsidRPr="00E667D3">
        <w:rPr>
          <w:rFonts w:ascii="Times New Roman" w:hAnsi="Times New Roman" w:cs="Times New Roman"/>
          <w:b/>
          <w:bCs/>
          <w:sz w:val="40"/>
          <w:szCs w:val="40"/>
        </w:rPr>
        <w:t>Project Report</w:t>
      </w:r>
    </w:p>
    <w:p w14:paraId="3115B00C" w14:textId="77777777" w:rsidR="0017131E" w:rsidRPr="00E667D3" w:rsidRDefault="00000000" w:rsidP="00E667D3">
      <w:pPr>
        <w:spacing w:before="80" w:after="80"/>
        <w:jc w:val="center"/>
        <w:rPr>
          <w:rFonts w:ascii="Times New Roman" w:hAnsi="Times New Roman" w:cs="Times New Roman"/>
          <w:sz w:val="32"/>
          <w:szCs w:val="32"/>
        </w:rPr>
      </w:pPr>
      <w:r w:rsidRPr="00E667D3">
        <w:rPr>
          <w:rFonts w:ascii="Times New Roman" w:hAnsi="Times New Roman" w:cs="Times New Roman"/>
          <w:color w:val="6B7280"/>
          <w:sz w:val="32"/>
          <w:szCs w:val="32"/>
        </w:rPr>
        <w:t>Prepared: September 23, 2026</w:t>
      </w:r>
    </w:p>
    <w:p w14:paraId="280F8A83" w14:textId="77777777" w:rsidR="0017131E" w:rsidRDefault="00000000" w:rsidP="00E667D3">
      <w:pPr>
        <w:spacing w:before="80" w:after="80"/>
        <w:jc w:val="center"/>
        <w:rPr>
          <w:rFonts w:ascii="Times New Roman" w:hAnsi="Times New Roman" w:cs="Times New Roman"/>
          <w:color w:val="6B7280"/>
          <w:sz w:val="32"/>
          <w:szCs w:val="32"/>
        </w:rPr>
      </w:pPr>
      <w:r w:rsidRPr="00E667D3">
        <w:rPr>
          <w:rFonts w:ascii="Times New Roman" w:hAnsi="Times New Roman" w:cs="Times New Roman"/>
          <w:color w:val="6B7280"/>
          <w:sz w:val="32"/>
          <w:szCs w:val="32"/>
        </w:rPr>
        <w:t xml:space="preserve">IBM </w:t>
      </w:r>
      <w:proofErr w:type="spellStart"/>
      <w:r w:rsidRPr="00E667D3">
        <w:rPr>
          <w:rFonts w:ascii="Times New Roman" w:hAnsi="Times New Roman" w:cs="Times New Roman"/>
          <w:color w:val="6B7280"/>
          <w:sz w:val="32"/>
          <w:szCs w:val="32"/>
        </w:rPr>
        <w:t>SkillsBuild</w:t>
      </w:r>
      <w:proofErr w:type="spellEnd"/>
      <w:r w:rsidRPr="00E667D3">
        <w:rPr>
          <w:rFonts w:ascii="Times New Roman" w:hAnsi="Times New Roman" w:cs="Times New Roman"/>
          <w:color w:val="6B7280"/>
          <w:sz w:val="32"/>
          <w:szCs w:val="32"/>
        </w:rPr>
        <w:t xml:space="preserve"> Internship Project</w:t>
      </w:r>
    </w:p>
    <w:p w14:paraId="6A9D107F" w14:textId="77777777" w:rsidR="00E667D3" w:rsidRPr="00E667D3" w:rsidRDefault="00E667D3" w:rsidP="00E667D3">
      <w:pPr>
        <w:spacing w:before="80" w:after="80"/>
        <w:jc w:val="center"/>
        <w:rPr>
          <w:rFonts w:ascii="Times New Roman" w:hAnsi="Times New Roman" w:cs="Times New Roman"/>
          <w:sz w:val="32"/>
          <w:szCs w:val="32"/>
        </w:rPr>
      </w:pPr>
    </w:p>
    <w:p w14:paraId="7741885F" w14:textId="1F63B9B1" w:rsidR="0017131E" w:rsidRPr="008B146F" w:rsidRDefault="00000000" w:rsidP="00E667D3">
      <w:pPr>
        <w:jc w:val="center"/>
        <w:rPr>
          <w:rFonts w:ascii="Times New Roman" w:hAnsi="Times New Roman" w:cs="Times New Roman"/>
          <w:sz w:val="40"/>
          <w:szCs w:val="40"/>
        </w:rPr>
      </w:pPr>
      <w:r w:rsidRPr="008B146F">
        <w:rPr>
          <w:rFonts w:ascii="Times New Roman" w:hAnsi="Times New Roman" w:cs="Times New Roman"/>
          <w:sz w:val="40"/>
          <w:szCs w:val="40"/>
        </w:rPr>
        <w:t xml:space="preserve">Prepared by: </w:t>
      </w:r>
      <w:r w:rsidR="0091661C" w:rsidRPr="008B146F">
        <w:rPr>
          <w:rFonts w:ascii="Times New Roman" w:hAnsi="Times New Roman" w:cs="Times New Roman"/>
          <w:sz w:val="40"/>
          <w:szCs w:val="40"/>
        </w:rPr>
        <w:t>Purujith Kadekar</w:t>
      </w:r>
      <w:r w:rsidRPr="008B146F">
        <w:rPr>
          <w:rFonts w:ascii="Times New Roman" w:hAnsi="Times New Roman" w:cs="Times New Roman"/>
          <w:sz w:val="40"/>
          <w:szCs w:val="40"/>
        </w:rPr>
        <w:t xml:space="preserve">  |  </w:t>
      </w:r>
      <w:r w:rsidR="008B146F">
        <w:rPr>
          <w:rFonts w:ascii="Times New Roman" w:hAnsi="Times New Roman" w:cs="Times New Roman"/>
          <w:sz w:val="40"/>
          <w:szCs w:val="40"/>
        </w:rPr>
        <w:br/>
      </w:r>
      <w:r w:rsidR="0091661C" w:rsidRPr="008B146F">
        <w:rPr>
          <w:rFonts w:ascii="Times New Roman" w:hAnsi="Times New Roman" w:cs="Times New Roman"/>
          <w:sz w:val="40"/>
          <w:szCs w:val="40"/>
        </w:rPr>
        <w:t>Dayananda Sagar College of Engineering</w:t>
      </w:r>
    </w:p>
    <w:p w14:paraId="40F9307A" w14:textId="77777777" w:rsidR="00E667D3" w:rsidRDefault="00E667D3" w:rsidP="008B146F">
      <w:pPr>
        <w:spacing w:before="280" w:after="80"/>
        <w:rPr>
          <w:rFonts w:ascii="Times New Roman" w:hAnsi="Times New Roman" w:cs="Times New Roman"/>
          <w:b/>
          <w:bCs/>
          <w:sz w:val="32"/>
          <w:szCs w:val="32"/>
        </w:rPr>
      </w:pPr>
    </w:p>
    <w:p w14:paraId="28199AFA" w14:textId="63C2BDD3" w:rsidR="0017131E" w:rsidRPr="00E667D3" w:rsidRDefault="00000000" w:rsidP="00E667D3">
      <w:pPr>
        <w:spacing w:before="280" w:after="80"/>
        <w:jc w:val="center"/>
        <w:rPr>
          <w:rFonts w:ascii="Times New Roman" w:hAnsi="Times New Roman" w:cs="Times New Roman"/>
          <w:sz w:val="32"/>
          <w:szCs w:val="32"/>
        </w:rPr>
      </w:pPr>
      <w:r w:rsidRPr="00E667D3">
        <w:rPr>
          <w:rFonts w:ascii="Times New Roman" w:hAnsi="Times New Roman" w:cs="Times New Roman"/>
          <w:b/>
          <w:bCs/>
          <w:sz w:val="32"/>
          <w:szCs w:val="32"/>
        </w:rPr>
        <w:t>Dataset:</w:t>
      </w:r>
    </w:p>
    <w:p w14:paraId="795B2309" w14:textId="77777777" w:rsidR="0017131E" w:rsidRPr="00E667D3" w:rsidRDefault="00000000" w:rsidP="00E667D3">
      <w:pPr>
        <w:spacing w:after="80"/>
        <w:jc w:val="center"/>
        <w:rPr>
          <w:rFonts w:ascii="Times New Roman" w:hAnsi="Times New Roman" w:cs="Times New Roman"/>
          <w:sz w:val="32"/>
          <w:szCs w:val="32"/>
        </w:rPr>
      </w:pPr>
      <w:hyperlink r:id="rId7" w:history="1">
        <w:r w:rsidRPr="00E667D3">
          <w:rPr>
            <w:rFonts w:ascii="Times New Roman" w:hAnsi="Times New Roman" w:cs="Times New Roman"/>
            <w:color w:val="3B82F6"/>
            <w:sz w:val="32"/>
            <w:szCs w:val="32"/>
            <w:u w:val="single"/>
          </w:rPr>
          <w:t>IBM Telco Customer Churn — Kaggle</w:t>
        </w:r>
      </w:hyperlink>
    </w:p>
    <w:p w14:paraId="385C15A5" w14:textId="77777777" w:rsidR="0017131E" w:rsidRPr="0091661C" w:rsidRDefault="00000000" w:rsidP="007B459A">
      <w:pPr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br w:type="page"/>
      </w:r>
    </w:p>
    <w:p w14:paraId="3FB71AB5" w14:textId="77777777" w:rsidR="0017131E" w:rsidRPr="0091661C" w:rsidRDefault="00000000" w:rsidP="007B459A">
      <w:pPr>
        <w:pStyle w:val="Heading1"/>
        <w:pageBreakBefore/>
        <w:jc w:val="both"/>
        <w:rPr>
          <w:rFonts w:ascii="Times New Roman" w:hAnsi="Times New Roman" w:cs="Times New Roman"/>
          <w:sz w:val="40"/>
          <w:szCs w:val="40"/>
        </w:rPr>
      </w:pPr>
      <w:r w:rsidRPr="0091661C">
        <w:rPr>
          <w:rFonts w:ascii="Times New Roman" w:hAnsi="Times New Roman" w:cs="Times New Roman"/>
          <w:sz w:val="40"/>
          <w:szCs w:val="40"/>
        </w:rPr>
        <w:lastRenderedPageBreak/>
        <w:t>Abstract</w:t>
      </w:r>
    </w:p>
    <w:p w14:paraId="6E885B55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Customer churn — the rate at which subscribers discontinue service — is one of the </w:t>
      </w:r>
      <w:proofErr w:type="gramStart"/>
      <w:r w:rsidRPr="007B459A">
        <w:rPr>
          <w:rFonts w:ascii="Times New Roman" w:hAnsi="Times New Roman" w:cs="Times New Roman"/>
          <w:sz w:val="28"/>
          <w:szCs w:val="28"/>
        </w:rPr>
        <w:t>most costly</w:t>
      </w:r>
      <w:proofErr w:type="gramEnd"/>
      <w:r w:rsidRPr="007B459A">
        <w:rPr>
          <w:rFonts w:ascii="Times New Roman" w:hAnsi="Times New Roman" w:cs="Times New Roman"/>
          <w:sz w:val="28"/>
          <w:szCs w:val="28"/>
        </w:rPr>
        <w:t xml:space="preserve"> challenges in the telecommunications sector. This project presents a comprehensive end-to-end analytical solution built on the IBM Telco Customer Churn dataset (7,043 customers, 21 features). The analysis follows a structured flow from raw data facts to actionable business insights, risk identification, and strategic recommended actions.</w:t>
      </w:r>
    </w:p>
    <w:p w14:paraId="0024B3F5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The overall churn rate observed is 26.54%, representing 1,869 lost customers with a monthly revenue at risk of $139,130.85. Two machine learning models were trained and evaluated: Logistic Regression and Random Forest. The best-performing model (Random Forest) achieved a ROC-AUC of 0.8401, providing a useful ranking of customers by churn risk. The findings are surfaced through an interactive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dashboard with three pages: Executive Overview, Churn Drivers, and Risk &amp; Actions.</w:t>
      </w:r>
    </w:p>
    <w:p w14:paraId="1B187D05" w14:textId="77777777" w:rsidR="0017131E" w:rsidRPr="0091661C" w:rsidRDefault="0017131E" w:rsidP="007B459A">
      <w:pPr>
        <w:pBdr>
          <w:bottom w:val="single" w:sz="4" w:space="0" w:color="CCCCCC"/>
        </w:pBd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80F972" w14:textId="77777777" w:rsidR="0017131E" w:rsidRPr="0091661C" w:rsidRDefault="00000000" w:rsidP="007B459A">
      <w:pPr>
        <w:pStyle w:val="Heading1"/>
        <w:pageBreakBefore/>
        <w:jc w:val="both"/>
        <w:rPr>
          <w:rFonts w:ascii="Times New Roman" w:hAnsi="Times New Roman" w:cs="Times New Roman"/>
          <w:sz w:val="40"/>
          <w:szCs w:val="40"/>
        </w:rPr>
      </w:pPr>
      <w:r w:rsidRPr="0091661C">
        <w:rPr>
          <w:rFonts w:ascii="Times New Roman" w:hAnsi="Times New Roman" w:cs="Times New Roman"/>
          <w:sz w:val="40"/>
          <w:szCs w:val="40"/>
        </w:rPr>
        <w:lastRenderedPageBreak/>
        <w:t>1. Introduction &amp; Problem Statement</w:t>
      </w:r>
    </w:p>
    <w:p w14:paraId="0FEE3700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1.1 Background</w:t>
      </w:r>
    </w:p>
    <w:p w14:paraId="40C0B166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The telecommunications industry is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characterised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by intense competition, low switching barriers, and increasingly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commoditised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services. Retaining existing customers is generally considered more cost-effective than acquiring new ones, since acquisition typically requires marketing, sales and onboarding spend.</w:t>
      </w:r>
    </w:p>
    <w:p w14:paraId="3B626AF3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1.2 Problem Statement</w:t>
      </w:r>
    </w:p>
    <w:p w14:paraId="49ADBE66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A telecom company with 7,043 active subscribers is experiencing a churn rate of 26.54%, translating to 1,869 lost customers. With an average monthly charge of $64.76, this represents a significant and preventable revenue leak. The company needs answers to three critical questions:</w:t>
      </w:r>
    </w:p>
    <w:p w14:paraId="296E2BE4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Why are customers leaving? Which service, demographic, and contract attributes are driving churn?</w:t>
      </w:r>
    </w:p>
    <w:p w14:paraId="0296A5B2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Who is most at risk? Which specific customers have a high probability of churning in the near future?</w:t>
      </w:r>
    </w:p>
    <w:p w14:paraId="685F454D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What should we do? Which targeted interventions will have the highest retention impact at lowest cost?</w:t>
      </w:r>
    </w:p>
    <w:p w14:paraId="29F27830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1.3 Solution Approach</w:t>
      </w:r>
    </w:p>
    <w:p w14:paraId="55F9926B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This project addresses these questions through: (1) exploratory data analysis and feature-level churn rate computation, (2) machine learning model training and evaluation, and (3) an interactive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dashboard that enables business users to explore insights, identify at-risk customers, and execute data-driven retention strategies.</w:t>
      </w:r>
    </w:p>
    <w:p w14:paraId="6272E990" w14:textId="77777777" w:rsidR="0017131E" w:rsidRPr="0091661C" w:rsidRDefault="0017131E" w:rsidP="007B459A">
      <w:pPr>
        <w:pBdr>
          <w:bottom w:val="single" w:sz="4" w:space="0" w:color="CCCCCC"/>
        </w:pBd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771938" w14:textId="77777777" w:rsidR="0017131E" w:rsidRPr="0091661C" w:rsidRDefault="00000000" w:rsidP="007B459A">
      <w:pPr>
        <w:pStyle w:val="Heading1"/>
        <w:pageBreakBefore/>
        <w:jc w:val="both"/>
        <w:rPr>
          <w:rFonts w:ascii="Times New Roman" w:hAnsi="Times New Roman" w:cs="Times New Roman"/>
          <w:sz w:val="40"/>
          <w:szCs w:val="40"/>
        </w:rPr>
      </w:pPr>
      <w:r w:rsidRPr="0091661C">
        <w:rPr>
          <w:rFonts w:ascii="Times New Roman" w:hAnsi="Times New Roman" w:cs="Times New Roman"/>
          <w:sz w:val="40"/>
          <w:szCs w:val="40"/>
        </w:rPr>
        <w:lastRenderedPageBreak/>
        <w:t>2. Objectives</w:t>
      </w:r>
    </w:p>
    <w:p w14:paraId="0D0F665E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Compute and present key churn KPIs: churn rate, revenue at risk, average tenure, and model performance.</w:t>
      </w:r>
    </w:p>
    <w:p w14:paraId="22D6E2B7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Identify the top drivers of customer churn through systematic feature-level analysis.</w:t>
      </w:r>
    </w:p>
    <w:p w14:paraId="28C453A9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Train, compare, and select the best-performing classification model (Logistic Regression vs Random Forest).</w:t>
      </w:r>
    </w:p>
    <w:p w14:paraId="0ECA3152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Build an interactive dashboard with three analytical pages.</w:t>
      </w:r>
    </w:p>
    <w:p w14:paraId="7DD2CFBB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Generate a ranked list of high-risk customers with predicted churn probability.</w:t>
      </w:r>
    </w:p>
    <w:p w14:paraId="1B783AF0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Provide quantified, actionable retention recommendations supported by the data.</w:t>
      </w:r>
    </w:p>
    <w:p w14:paraId="6E79C25B" w14:textId="77777777" w:rsidR="0017131E" w:rsidRPr="0091661C" w:rsidRDefault="0017131E" w:rsidP="007B459A">
      <w:pPr>
        <w:pBdr>
          <w:bottom w:val="single" w:sz="4" w:space="0" w:color="CCCCCC"/>
        </w:pBd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220D9A" w14:textId="77777777" w:rsidR="0017131E" w:rsidRPr="0091661C" w:rsidRDefault="00000000" w:rsidP="007B459A">
      <w:pPr>
        <w:pStyle w:val="Heading1"/>
        <w:pageBreakBefore/>
        <w:jc w:val="both"/>
        <w:rPr>
          <w:rFonts w:ascii="Times New Roman" w:hAnsi="Times New Roman" w:cs="Times New Roman"/>
          <w:sz w:val="40"/>
          <w:szCs w:val="40"/>
        </w:rPr>
      </w:pPr>
      <w:r w:rsidRPr="0091661C">
        <w:rPr>
          <w:rFonts w:ascii="Times New Roman" w:hAnsi="Times New Roman" w:cs="Times New Roman"/>
          <w:sz w:val="40"/>
          <w:szCs w:val="40"/>
        </w:rPr>
        <w:lastRenderedPageBreak/>
        <w:t>3. Dataset Description</w:t>
      </w:r>
    </w:p>
    <w:p w14:paraId="4570A031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3.1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7131E" w:rsidRPr="0091661C" w14:paraId="751CF3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4A13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Property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7F4F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17131E" w:rsidRPr="0091661C" w14:paraId="7EA474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4F52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F965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WA_Fn-UseC_-Telco-Customer-Churn.csv</w:t>
            </w:r>
          </w:p>
        </w:tc>
      </w:tr>
      <w:tr w:rsidR="0017131E" w:rsidRPr="0091661C" w14:paraId="31EEBA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BB6D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FCDF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IBM Sample Data / Kaggle</w:t>
            </w:r>
          </w:p>
        </w:tc>
      </w:tr>
      <w:tr w:rsidR="0017131E" w:rsidRPr="0091661C" w14:paraId="5DF552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D3CC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Total Rows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F8F3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7,043 customers</w:t>
            </w:r>
          </w:p>
        </w:tc>
      </w:tr>
      <w:tr w:rsidR="0017131E" w:rsidRPr="0091661C" w14:paraId="17B29F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4C9C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Total Columns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BBFD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17131E" w:rsidRPr="0091661C" w14:paraId="592A54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436F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Target Variable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DC61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Churn (Yes/No → 1/0)</w:t>
            </w:r>
          </w:p>
        </w:tc>
      </w:tr>
      <w:tr w:rsidR="0017131E" w:rsidRPr="0091661C" w14:paraId="18F114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63B67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Churned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B45C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1,869 (26.54%)</w:t>
            </w:r>
          </w:p>
        </w:tc>
      </w:tr>
      <w:tr w:rsidR="0017131E" w:rsidRPr="0091661C" w14:paraId="01F28B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7060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Retained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1A58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5,174 (73.46%)</w:t>
            </w:r>
          </w:p>
        </w:tc>
      </w:tr>
    </w:tbl>
    <w:p w14:paraId="50DA6B0C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3.2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131E" w:rsidRPr="0091661C" w14:paraId="0B9EC7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7E88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Column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09B7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70F1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17131E" w:rsidRPr="0091661C" w14:paraId="3A9AC9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E0E4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7C92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BC8A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Unique customer identifier (dropped from modelling)</w:t>
            </w:r>
          </w:p>
        </w:tc>
      </w:tr>
      <w:tr w:rsidR="0017131E" w:rsidRPr="0091661C" w14:paraId="63CC3E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BB9F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AA04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1A77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Male / Female</w:t>
            </w:r>
          </w:p>
        </w:tc>
      </w:tr>
      <w:tr w:rsidR="0017131E" w:rsidRPr="0091661C" w14:paraId="28F0CF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AEE8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SeniorCitizen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B579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CFD4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1 = Senior citizen, 0 = otherwise</w:t>
            </w:r>
          </w:p>
        </w:tc>
      </w:tr>
      <w:tr w:rsidR="0017131E" w:rsidRPr="0091661C" w14:paraId="265EC7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5525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Partner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48FA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852D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Yes / No — has a partner</w:t>
            </w:r>
          </w:p>
        </w:tc>
      </w:tr>
      <w:tr w:rsidR="0017131E" w:rsidRPr="0091661C" w14:paraId="3AE86A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224F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Dependents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F0C4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4E4A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Yes / No — has dependents</w:t>
            </w:r>
          </w:p>
        </w:tc>
      </w:tr>
      <w:tr w:rsidR="0017131E" w:rsidRPr="0091661C" w14:paraId="32E006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7A8C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tenure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086E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26F3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Months with the company</w:t>
            </w:r>
          </w:p>
        </w:tc>
      </w:tr>
      <w:tr w:rsidR="0017131E" w:rsidRPr="0091661C" w14:paraId="4B7794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7F53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PhoneService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88FB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BDAD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17131E" w:rsidRPr="0091661C" w14:paraId="48A288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053D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MultipleLines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DC7D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6D65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Yes / No / No phone service</w:t>
            </w:r>
          </w:p>
        </w:tc>
      </w:tr>
      <w:tr w:rsidR="0017131E" w:rsidRPr="0091661C" w14:paraId="70645B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AB1A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InternetService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BC1D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A32B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DSL / Fiber optic / No</w:t>
            </w:r>
          </w:p>
        </w:tc>
      </w:tr>
      <w:tr w:rsidR="0017131E" w:rsidRPr="0091661C" w14:paraId="37F449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7E4E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OnlineSecurity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5AF7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8D65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Yes / No / No internet service</w:t>
            </w:r>
          </w:p>
        </w:tc>
      </w:tr>
      <w:tr w:rsidR="0017131E" w:rsidRPr="0091661C" w14:paraId="285D82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11AE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OnlineBackup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0392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DD32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Yes / No / No internet service</w:t>
            </w:r>
          </w:p>
        </w:tc>
      </w:tr>
      <w:tr w:rsidR="0017131E" w:rsidRPr="0091661C" w14:paraId="1099F5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E907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DeviceProtection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6B9D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371B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Yes / No / No internet service</w:t>
            </w:r>
          </w:p>
        </w:tc>
      </w:tr>
      <w:tr w:rsidR="0017131E" w:rsidRPr="0091661C" w14:paraId="2740E3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AE8A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TechSupport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D340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2679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Yes / No / No internet service</w:t>
            </w:r>
          </w:p>
        </w:tc>
      </w:tr>
      <w:tr w:rsidR="0017131E" w:rsidRPr="0091661C" w14:paraId="43E754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DCF0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StreamingTV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D2FC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C152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Yes / No / No internet service</w:t>
            </w:r>
          </w:p>
        </w:tc>
      </w:tr>
      <w:tr w:rsidR="0017131E" w:rsidRPr="0091661C" w14:paraId="6D96BB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304D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StreamingMovies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B146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7FDA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Yes / No / No internet service</w:t>
            </w:r>
          </w:p>
        </w:tc>
      </w:tr>
      <w:tr w:rsidR="0017131E" w:rsidRPr="0091661C" w14:paraId="43D11A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7130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167B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3091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Month-to-month / One year / Two year</w:t>
            </w:r>
          </w:p>
        </w:tc>
      </w:tr>
      <w:tr w:rsidR="0017131E" w:rsidRPr="0091661C" w14:paraId="4ECA63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A832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PaperlessBilling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60AD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B6E0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Yes / No</w:t>
            </w:r>
          </w:p>
        </w:tc>
      </w:tr>
      <w:tr w:rsidR="0017131E" w:rsidRPr="0091661C" w14:paraId="627DF9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B572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PaymentMethod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A8D5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EC16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Electronic check / Mailed check / Bank transfer / Credit card</w:t>
            </w:r>
          </w:p>
        </w:tc>
      </w:tr>
      <w:tr w:rsidR="0017131E" w:rsidRPr="0091661C" w14:paraId="0E82BF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70CC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MonthlyCharges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113C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Numeric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FD71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Current monthly charge amount ($)</w:t>
            </w:r>
          </w:p>
        </w:tc>
      </w:tr>
      <w:tr w:rsidR="0017131E" w:rsidRPr="0091661C" w14:paraId="3F90DC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D25A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TotalCharges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9753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Numeric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E959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Total amount charged (blank for new customers → filled 0)</w:t>
            </w:r>
          </w:p>
        </w:tc>
      </w:tr>
      <w:tr w:rsidR="0017131E" w:rsidRPr="0091661C" w14:paraId="4AC9D9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EBB9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Churn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EA53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755B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8"/>
                <w:szCs w:val="28"/>
              </w:rPr>
              <w:t>Yes / No → mapped to 1 / 0</w:t>
            </w:r>
          </w:p>
        </w:tc>
      </w:tr>
    </w:tbl>
    <w:p w14:paraId="3CAEF0D2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3.3 Data Quality Notes</w:t>
      </w:r>
    </w:p>
    <w:p w14:paraId="1E598162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•  11 rows had blank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TotalCharges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values. All correspond to customers with tenure = 0 (new customers). These were filled with 0.0 — their total spend is genuinely zero. No rows were dropped.</w:t>
      </w:r>
    </w:p>
    <w:p w14:paraId="6AC53EF3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was excluded from all modelling as it carries no predictive signal.</w:t>
      </w:r>
    </w:p>
    <w:p w14:paraId="2C0CF2E1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SeniorCitizen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was already encoded as 0/1 in the source data.</w:t>
      </w:r>
    </w:p>
    <w:p w14:paraId="07CE6C4C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All categorical columns were label-encoded for model training.</w:t>
      </w:r>
    </w:p>
    <w:p w14:paraId="151D48D3" w14:textId="77777777" w:rsidR="0017131E" w:rsidRPr="0091661C" w:rsidRDefault="0017131E" w:rsidP="007B459A">
      <w:pPr>
        <w:pBdr>
          <w:bottom w:val="single" w:sz="4" w:space="0" w:color="CCCCCC"/>
        </w:pBd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7F7662" w14:textId="77777777" w:rsidR="0017131E" w:rsidRPr="0091661C" w:rsidRDefault="00000000" w:rsidP="007B459A">
      <w:pPr>
        <w:pStyle w:val="Heading1"/>
        <w:pageBreakBefore/>
        <w:jc w:val="both"/>
        <w:rPr>
          <w:rFonts w:ascii="Times New Roman" w:hAnsi="Times New Roman" w:cs="Times New Roman"/>
          <w:sz w:val="40"/>
          <w:szCs w:val="40"/>
        </w:rPr>
      </w:pPr>
      <w:r w:rsidRPr="0091661C">
        <w:rPr>
          <w:rFonts w:ascii="Times New Roman" w:hAnsi="Times New Roman" w:cs="Times New Roman"/>
          <w:sz w:val="40"/>
          <w:szCs w:val="40"/>
        </w:rPr>
        <w:lastRenderedPageBreak/>
        <w:t>4. Methodology</w:t>
      </w:r>
    </w:p>
    <w:p w14:paraId="77ED5C20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4.1 Data Preparation</w:t>
      </w:r>
    </w:p>
    <w:p w14:paraId="67F41F40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91661C">
        <w:rPr>
          <w:rFonts w:ascii="Times New Roman" w:hAnsi="Times New Roman" w:cs="Times New Roman"/>
          <w:sz w:val="24"/>
          <w:szCs w:val="24"/>
        </w:rPr>
        <w:t xml:space="preserve">•  </w:t>
      </w:r>
      <w:r w:rsidRPr="007B459A">
        <w:rPr>
          <w:rFonts w:ascii="Times New Roman" w:hAnsi="Times New Roman" w:cs="Times New Roman"/>
          <w:sz w:val="28"/>
          <w:szCs w:val="28"/>
        </w:rPr>
        <w:t>Load CSV from the same directory as the script using a relative path.</w:t>
      </w:r>
    </w:p>
    <w:p w14:paraId="1B5FBC2F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•  Convert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TotalCharges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to numeric, fill 11 blank values with 0.0 (tenure = 0 new customers).</w:t>
      </w:r>
    </w:p>
    <w:p w14:paraId="42C31A0F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Map Churn Yes/No to 1/0 (integer binary target).</w:t>
      </w:r>
    </w:p>
    <w:p w14:paraId="51CB9A20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•  Create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TenureGroup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bins: 0-12, 13-24, 25-48, 49-60, 61-72 months.</w:t>
      </w:r>
    </w:p>
    <w:p w14:paraId="0AE48DF4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•  Drop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TenureGroup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before model training.</w:t>
      </w:r>
    </w:p>
    <w:p w14:paraId="7D267253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Label-encode all remaining categorical columns.</w:t>
      </w:r>
    </w:p>
    <w:p w14:paraId="46FCCC31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4.2 Exploratory Data Analysis</w:t>
      </w:r>
    </w:p>
    <w:p w14:paraId="6B325F52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EDA was conducted across all 20 predictor variables. Churn rates were computed as mean(Churn) for each subgroup, enabling direct comparison without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normalisation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. Key dimensions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analysed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>: contract type, internet service, payment method, tenure group, tech support, and senior citizen status.</w:t>
      </w:r>
    </w:p>
    <w:p w14:paraId="067FBFBC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4.3 Modelling</w:t>
      </w:r>
    </w:p>
    <w:p w14:paraId="6DEB34FC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Two classification algorithms were trained and compared: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131E" w:rsidRPr="007B459A" w14:paraId="69F864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8F65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0C9A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Hyperparameters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53FA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Feature Scaling</w:t>
            </w:r>
          </w:p>
        </w:tc>
      </w:tr>
      <w:tr w:rsidR="0017131E" w:rsidRPr="007B459A" w14:paraId="7BF76B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21D1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501B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max_iter</w:t>
            </w:r>
            <w:proofErr w:type="spellEnd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 xml:space="preserve">=1000, </w:t>
            </w: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class_weight</w:t>
            </w:r>
            <w:proofErr w:type="spellEnd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 xml:space="preserve">=balanced, </w:t>
            </w: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random_state</w:t>
            </w:r>
            <w:proofErr w:type="spellEnd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=42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D4FB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StandardScaler</w:t>
            </w:r>
            <w:proofErr w:type="spellEnd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 xml:space="preserve"> (required)</w:t>
            </w:r>
          </w:p>
        </w:tc>
      </w:tr>
      <w:tr w:rsidR="0017131E" w:rsidRPr="007B459A" w14:paraId="6095BE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A1E1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1F83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n_estimators</w:t>
            </w:r>
            <w:proofErr w:type="spellEnd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 xml:space="preserve">=200, </w:t>
            </w: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max_depth</w:t>
            </w:r>
            <w:proofErr w:type="spellEnd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 xml:space="preserve">=10, </w:t>
            </w: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class_weight</w:t>
            </w:r>
            <w:proofErr w:type="spellEnd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 xml:space="preserve">=balanced, </w:t>
            </w:r>
            <w:proofErr w:type="spellStart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random_state</w:t>
            </w:r>
            <w:proofErr w:type="spellEnd"/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=42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B836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None (tree-based)</w:t>
            </w:r>
          </w:p>
        </w:tc>
      </w:tr>
    </w:tbl>
    <w:p w14:paraId="6BB4F250" w14:textId="77777777" w:rsidR="0017131E" w:rsidRPr="007B459A" w:rsidRDefault="0017131E" w:rsidP="007B459A">
      <w:pPr>
        <w:spacing w:before="120"/>
        <w:jc w:val="both"/>
        <w:rPr>
          <w:rFonts w:ascii="Times New Roman" w:hAnsi="Times New Roman" w:cs="Times New Roman"/>
          <w:sz w:val="28"/>
          <w:szCs w:val="28"/>
        </w:rPr>
      </w:pPr>
    </w:p>
    <w:p w14:paraId="17C0E2EC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Train/test split: 80/20, stratified by Churn to preserve class balance.</w:t>
      </w:r>
    </w:p>
    <w:p w14:paraId="5DCE34F3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• 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class_weight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>='balanced' used in both models to address the 26.5% vs 73.5% class imbalance.</w:t>
      </w:r>
    </w:p>
    <w:p w14:paraId="4AD2377A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Best model selected automatically by ROC-AUC on the held-out test set.</w:t>
      </w:r>
    </w:p>
    <w:p w14:paraId="7DA71E0E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All churn probabilities for the full dataset were generated by the best model for the risk table.</w:t>
      </w:r>
    </w:p>
    <w:p w14:paraId="0F38FE05" w14:textId="77777777" w:rsidR="0017131E" w:rsidRPr="0091661C" w:rsidRDefault="0017131E" w:rsidP="007B459A">
      <w:pPr>
        <w:pBdr>
          <w:bottom w:val="single" w:sz="4" w:space="0" w:color="CCCCCC"/>
        </w:pBd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75ADE8" w14:textId="77777777" w:rsidR="0017131E" w:rsidRPr="0091661C" w:rsidRDefault="00000000" w:rsidP="007B459A">
      <w:pPr>
        <w:pStyle w:val="Heading1"/>
        <w:pageBreakBefore/>
        <w:jc w:val="both"/>
        <w:rPr>
          <w:rFonts w:ascii="Times New Roman" w:hAnsi="Times New Roman" w:cs="Times New Roman"/>
          <w:sz w:val="40"/>
          <w:szCs w:val="40"/>
        </w:rPr>
      </w:pPr>
      <w:r w:rsidRPr="0091661C">
        <w:rPr>
          <w:rFonts w:ascii="Times New Roman" w:hAnsi="Times New Roman" w:cs="Times New Roman"/>
          <w:sz w:val="40"/>
          <w:szCs w:val="40"/>
        </w:rPr>
        <w:lastRenderedPageBreak/>
        <w:t>5. KPIs &amp; Key Findings</w:t>
      </w:r>
    </w:p>
    <w:p w14:paraId="759D5793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5.1 KPI Dashboard</w:t>
      </w:r>
    </w:p>
    <w:p w14:paraId="30358862" w14:textId="77777777" w:rsidR="0017131E" w:rsidRPr="0091661C" w:rsidRDefault="00000000" w:rsidP="007B459A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B93CCE" wp14:editId="4A5E8DF7">
            <wp:extent cx="5905500" cy="952500"/>
            <wp:effectExtent l="0" t="0" r="0" b="0"/>
            <wp:docPr id="1" name="01_kpi_cards.png" descr="01_kpi_cards.png" title="01_kpi_car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131E" w:rsidRPr="007B459A" w14:paraId="2CD049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D353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C1B6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438C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Interpretation</w:t>
            </w:r>
          </w:p>
        </w:tc>
      </w:tr>
      <w:tr w:rsidR="0017131E" w:rsidRPr="007B459A" w14:paraId="49E94F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B09D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Total Customers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663A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7,043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AE30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Full dataset size</w:t>
            </w:r>
          </w:p>
        </w:tc>
      </w:tr>
      <w:tr w:rsidR="0017131E" w:rsidRPr="007B459A" w14:paraId="3E07B1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F9A3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Churn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A3A0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26.54%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20EC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~1 in 4 customers churn</w:t>
            </w:r>
          </w:p>
        </w:tc>
      </w:tr>
      <w:tr w:rsidR="0017131E" w:rsidRPr="007B459A" w14:paraId="492C13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B5C6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Avg Monthly Charges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35D6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$64.76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2278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Per-customer monthly revenue</w:t>
            </w:r>
          </w:p>
        </w:tc>
      </w:tr>
      <w:tr w:rsidR="0017131E" w:rsidRPr="007B459A" w14:paraId="75A05E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B7A0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Avg Tenure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3722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32.37 months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1487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~2.7 years average lifetime</w:t>
            </w:r>
          </w:p>
        </w:tc>
      </w:tr>
      <w:tr w:rsidR="0017131E" w:rsidRPr="007B459A" w14:paraId="3D8C91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1DF2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Monthly Revenue at Risk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A02A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$139,130.85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172B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From churned customers only</w:t>
            </w:r>
          </w:p>
        </w:tc>
      </w:tr>
      <w:tr w:rsidR="0017131E" w:rsidRPr="007B459A" w14:paraId="293113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B386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Model ROC-AUC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10CB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0.8401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11E9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Random Forest on 20% test set</w:t>
            </w:r>
          </w:p>
        </w:tc>
      </w:tr>
    </w:tbl>
    <w:p w14:paraId="5AC5F914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5.2 Churn vs Retained</w:t>
      </w:r>
    </w:p>
    <w:p w14:paraId="77F15D76" w14:textId="77777777" w:rsidR="0017131E" w:rsidRPr="0091661C" w:rsidRDefault="00000000" w:rsidP="007B459A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79227C" wp14:editId="4A2CBC26">
            <wp:extent cx="3048000" cy="2667000"/>
            <wp:effectExtent l="0" t="0" r="0" b="0"/>
            <wp:docPr id="2" name="02_churn_donut.png" descr="02_churn_donut.png" title="02_churn_don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78F9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Out of 7,043 customers, 1,869 (26.54%) churned and 5,174 (73.46%) were retained.</w:t>
      </w:r>
    </w:p>
    <w:p w14:paraId="27D8BB47" w14:textId="77777777" w:rsidR="007B459A" w:rsidRDefault="007B459A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</w:p>
    <w:p w14:paraId="447C9ABC" w14:textId="6F90FA21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5.3 Key Findings</w:t>
      </w:r>
    </w:p>
    <w:p w14:paraId="7B48F390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lastRenderedPageBreak/>
        <w:t>•  Month-to-month contract customers churn at ~42.7% vs 11.3% for one-year and 2.8% for two-year contracts.</w:t>
      </w:r>
    </w:p>
    <w:p w14:paraId="38B4DBBE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Fiber optic internet customers churn at ~41.9% — the highest of all service types.</w:t>
      </w:r>
    </w:p>
    <w:p w14:paraId="0D5EC864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Electronic check payers churn at ~45.3% vs ~15% for automatic payment methods.</w:t>
      </w:r>
    </w:p>
    <w:p w14:paraId="083A58EE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Customers in their first 12 months churn at ~47.4% — the critical at-risk window.</w:t>
      </w:r>
    </w:p>
    <w:p w14:paraId="41726991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Customers without tech support churn at ~41.6% vs ~15.2% with support — a 26.5 pp gap.</w:t>
      </w:r>
    </w:p>
    <w:p w14:paraId="5D48C7F9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Senior citizens churn at ~41.7% vs ~23.6% for non-seniors.</w:t>
      </w:r>
    </w:p>
    <w:p w14:paraId="4C2C95AA" w14:textId="77777777" w:rsidR="0017131E" w:rsidRPr="0091661C" w:rsidRDefault="0017131E" w:rsidP="007B459A">
      <w:pPr>
        <w:pBdr>
          <w:bottom w:val="single" w:sz="4" w:space="0" w:color="CCCCCC"/>
        </w:pBd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767E69" w14:textId="77777777" w:rsidR="0017131E" w:rsidRPr="0091661C" w:rsidRDefault="00000000" w:rsidP="007B459A">
      <w:pPr>
        <w:pStyle w:val="Heading1"/>
        <w:pageBreakBefore/>
        <w:jc w:val="both"/>
        <w:rPr>
          <w:rFonts w:ascii="Times New Roman" w:hAnsi="Times New Roman" w:cs="Times New Roman"/>
          <w:sz w:val="40"/>
          <w:szCs w:val="40"/>
        </w:rPr>
      </w:pPr>
      <w:r w:rsidRPr="0091661C">
        <w:rPr>
          <w:rFonts w:ascii="Times New Roman" w:hAnsi="Times New Roman" w:cs="Times New Roman"/>
          <w:sz w:val="40"/>
          <w:szCs w:val="40"/>
        </w:rPr>
        <w:lastRenderedPageBreak/>
        <w:t>6. Churn Drivers Analysis</w:t>
      </w:r>
    </w:p>
    <w:p w14:paraId="0DDC7251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6.1 Churn by Contract Type</w:t>
      </w:r>
    </w:p>
    <w:p w14:paraId="5D1A3DAE" w14:textId="77777777" w:rsidR="0017131E" w:rsidRPr="0091661C" w:rsidRDefault="00000000" w:rsidP="007B459A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3AD420" wp14:editId="38E88CB1">
            <wp:extent cx="4572000" cy="2476500"/>
            <wp:effectExtent l="0" t="0" r="0" b="0"/>
            <wp:docPr id="3" name="03_churn_by_contract.png" descr="03_churn_by_contract.png" title="03_churn_by_contr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1526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Month-to-month contracts have dramatically higher churn. With no lock-in period, dissatisfied customers can leave at the end of any billing cycle. This is the single most actionable churn driver.</w:t>
      </w:r>
    </w:p>
    <w:p w14:paraId="3AE143F2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6.2 Churn by Internet Service</w:t>
      </w:r>
    </w:p>
    <w:p w14:paraId="6EF87F64" w14:textId="77777777" w:rsidR="0017131E" w:rsidRPr="0091661C" w:rsidRDefault="00000000" w:rsidP="007B459A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6A3D90" wp14:editId="22C8A04B">
            <wp:extent cx="4572000" cy="2476500"/>
            <wp:effectExtent l="0" t="0" r="0" b="0"/>
            <wp:docPr id="4" name="04_churn_by_internet.png" descr="04_churn_by_internet.png" title="04_churn_by_inter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0F6C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Fiber optic customers churn at ~42%, more than double the DSL rate (~19%). This likely reflects a combination of higher price points and unmet performance expectations. Customers with no internet service churn at only ~7%.</w:t>
      </w:r>
    </w:p>
    <w:p w14:paraId="712871E1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6.3 Churn by Payment Method</w:t>
      </w:r>
    </w:p>
    <w:p w14:paraId="37A5C82A" w14:textId="77777777" w:rsidR="0017131E" w:rsidRPr="0091661C" w:rsidRDefault="00000000" w:rsidP="007B459A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BA3511" wp14:editId="53927C28">
            <wp:extent cx="4953000" cy="2476500"/>
            <wp:effectExtent l="0" t="0" r="0" b="0"/>
            <wp:docPr id="5" name="05_churn_by_payment.png" descr="05_churn_by_payment.png" title="05_churn_by_pa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BDCF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Electronic check payers exhibit the highest churn (~45%). Manual payment methods correlate with lower commitment — these customers are more likely to respond to competitor offers. Automatic payment customers (bank transfer or credit card) churn at ~15-17%.</w:t>
      </w:r>
    </w:p>
    <w:p w14:paraId="140AA424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6.4 Churn by Tenure Group</w:t>
      </w:r>
    </w:p>
    <w:p w14:paraId="7747A8F4" w14:textId="77777777" w:rsidR="0017131E" w:rsidRPr="0091661C" w:rsidRDefault="00000000" w:rsidP="007B459A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B1E01A" wp14:editId="03EF098F">
            <wp:extent cx="4953000" cy="2476500"/>
            <wp:effectExtent l="0" t="0" r="0" b="0"/>
            <wp:docPr id="6" name="06_churn_by_tenure.png" descr="06_churn_by_tenure.png" title="06_churn_by_ten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9B78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Churn is heavily concentrated in the first 12 months (~47.4%). After 24 months, churn rates drop significantly and continue declining. This confirms that early-lifecycle engagement is the highest-leverage intervention point.</w:t>
      </w:r>
    </w:p>
    <w:p w14:paraId="3E3E03C4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6.5 Tech Support &amp; Senior Citizen</w:t>
      </w:r>
    </w:p>
    <w:p w14:paraId="6C234061" w14:textId="77777777" w:rsidR="0017131E" w:rsidRPr="0091661C" w:rsidRDefault="00000000" w:rsidP="007B459A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4E6AB3" wp14:editId="4F600DE6">
            <wp:extent cx="5524500" cy="2667000"/>
            <wp:effectExtent l="0" t="0" r="0" b="0"/>
            <wp:docPr id="7" name="07_churn_tech_senior.png" descr="07_churn_tech_senior.png" title="07_churn_tech_seni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C2B3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Customers without tech support churn at about 2.7x the rate of supported customers (41.6% vs 15.2%). Senior citizens churn at ~41.7% vs ~23.6% for non-seniors, suggesting price sensitivity and service complexity as key factors for this segment.</w:t>
      </w:r>
    </w:p>
    <w:p w14:paraId="375F1170" w14:textId="77777777" w:rsidR="0017131E" w:rsidRPr="0091661C" w:rsidRDefault="0017131E" w:rsidP="007B459A">
      <w:pPr>
        <w:pBdr>
          <w:bottom w:val="single" w:sz="4" w:space="0" w:color="CCCCCC"/>
        </w:pBd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2CC94E" w14:textId="77777777" w:rsidR="0017131E" w:rsidRPr="0091661C" w:rsidRDefault="00000000" w:rsidP="007B459A">
      <w:pPr>
        <w:pStyle w:val="Heading1"/>
        <w:pageBreakBefore/>
        <w:jc w:val="both"/>
        <w:rPr>
          <w:rFonts w:ascii="Times New Roman" w:hAnsi="Times New Roman" w:cs="Times New Roman"/>
          <w:sz w:val="40"/>
          <w:szCs w:val="40"/>
        </w:rPr>
      </w:pPr>
      <w:r w:rsidRPr="0091661C">
        <w:rPr>
          <w:rFonts w:ascii="Times New Roman" w:hAnsi="Times New Roman" w:cs="Times New Roman"/>
          <w:sz w:val="40"/>
          <w:szCs w:val="40"/>
        </w:rPr>
        <w:lastRenderedPageBreak/>
        <w:t>7. Model Results</w:t>
      </w:r>
    </w:p>
    <w:p w14:paraId="3233AA73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7.1 Performance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7131E" w:rsidRPr="0091661C" w14:paraId="66AC27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D3F3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C068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Logistic Regression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3949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Random Forest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9EC0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Best</w:t>
            </w:r>
          </w:p>
        </w:tc>
      </w:tr>
      <w:tr w:rsidR="0017131E" w:rsidRPr="0091661C" w14:paraId="6FEE90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C85E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BD3A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0.7388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364F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0.7608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3F2E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</w:tr>
      <w:tr w:rsidR="0017131E" w:rsidRPr="0091661C" w14:paraId="4AE0F4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4DA4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5ABB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0.5051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7CB8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0.5352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6EF1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</w:tr>
      <w:tr w:rsidR="0017131E" w:rsidRPr="0091661C" w14:paraId="47726D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BB7E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94A9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0.7968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E09A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0.7513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392E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</w:tr>
      <w:tr w:rsidR="0017131E" w:rsidRPr="0091661C" w14:paraId="247486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44C3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F1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A0C4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0.6183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5452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0.6251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B4D1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</w:tr>
      <w:tr w:rsidR="0017131E" w:rsidRPr="0091661C" w14:paraId="582252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D40B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6D6F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0.8398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0115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0.8401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6097" w14:textId="77777777" w:rsidR="0017131E" w:rsidRPr="007B459A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459A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</w:tr>
    </w:tbl>
    <w:p w14:paraId="37B67F14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7.2 Model Comparison Chart</w:t>
      </w:r>
    </w:p>
    <w:p w14:paraId="6F360518" w14:textId="77777777" w:rsidR="0017131E" w:rsidRPr="0091661C" w:rsidRDefault="00000000" w:rsidP="007B459A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02053A" wp14:editId="6F8F3F49">
            <wp:extent cx="5334000" cy="2762250"/>
            <wp:effectExtent l="0" t="0" r="0" b="0"/>
            <wp:docPr id="8" name="08_model_comparison.png" descr="08_model_comparison.png" title="08_model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59F7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Random Forest was selected as the best model with a ROC-AUC of 0.8401. Both models benefit from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class_weight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>='balanced' to handle the 73.5/26.5 class imbalance. While Logistic Regression achieves higher recall (0.7968), Random Forest provides a better overall discrimination score. The two models are effectively tied (ROC-AUC difference below 0.001), so the model the dashboard labels 'best' can change slightly with library versions; the figures in this report are from the run used to build it.</w:t>
      </w:r>
    </w:p>
    <w:p w14:paraId="527E101A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7.3 Confusion Matrix</w:t>
      </w:r>
    </w:p>
    <w:p w14:paraId="493C9833" w14:textId="77777777" w:rsidR="0017131E" w:rsidRPr="0091661C" w:rsidRDefault="00000000" w:rsidP="007B459A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7BBCB8" wp14:editId="5703B995">
            <wp:extent cx="3238500" cy="2667000"/>
            <wp:effectExtent l="0" t="0" r="0" b="0"/>
            <wp:docPr id="9" name="09_confusion_matrix.png" descr="09_confusion_matrix.png" title="09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C5CD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7.4 Feature Importances</w:t>
      </w:r>
    </w:p>
    <w:p w14:paraId="235C2B2E" w14:textId="77777777" w:rsidR="0017131E" w:rsidRPr="0091661C" w:rsidRDefault="00000000" w:rsidP="007B459A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F361B2" wp14:editId="47F7B7F7">
            <wp:extent cx="4953000" cy="3429000"/>
            <wp:effectExtent l="0" t="0" r="0" b="0"/>
            <wp:docPr id="10" name="10_feature_importance.png" descr="10_feature_importance.png" title="10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5828" w14:textId="77777777" w:rsidR="0017131E" w:rsidRPr="0091661C" w:rsidRDefault="00000000" w:rsidP="007B459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Contract type, tenure,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TotalCharges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MonthlyCharges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are the top four predictors. This is consistent with the EDA findings — how long a customer has been subscribed and what they pay are the strongest signals of churn risk.</w:t>
      </w:r>
    </w:p>
    <w:p w14:paraId="42CFC535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7.5 ROC Curves</w:t>
      </w:r>
    </w:p>
    <w:p w14:paraId="37CD5174" w14:textId="77777777" w:rsidR="0017131E" w:rsidRPr="0091661C" w:rsidRDefault="00000000" w:rsidP="007B459A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595175" wp14:editId="4E9696FF">
            <wp:extent cx="3619500" cy="3048000"/>
            <wp:effectExtent l="0" t="0" r="0" b="0"/>
            <wp:docPr id="11" name="11_roc_curves.png" descr="11_roc_curves.png" title="11_roc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A8C1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7.6 Churn Probability Distribution</w:t>
      </w:r>
    </w:p>
    <w:p w14:paraId="45E8D73E" w14:textId="77777777" w:rsidR="0017131E" w:rsidRPr="0091661C" w:rsidRDefault="00000000" w:rsidP="007B459A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2B95E6" wp14:editId="5D224330">
            <wp:extent cx="4953000" cy="2667000"/>
            <wp:effectExtent l="0" t="0" r="0" b="0"/>
            <wp:docPr id="12" name="12_prob_distribution.png" descr="12_prob_distribution.png" title="12_prob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4B47" w14:textId="77777777" w:rsidR="0017131E" w:rsidRPr="0091661C" w:rsidRDefault="00000000" w:rsidP="007B459A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7B459A">
        <w:rPr>
          <w:rFonts w:ascii="Times New Roman" w:hAnsi="Times New Roman" w:cs="Times New Roman"/>
          <w:sz w:val="28"/>
          <w:szCs w:val="28"/>
        </w:rPr>
        <w:t>The probability distributions show reasonable separation between churned (red) and retained (green) customers. A threshold of 0.5 is used for binary classification; this can be adjusted based on the cost of false negatives vs false positives.</w:t>
      </w:r>
    </w:p>
    <w:p w14:paraId="70D2AFE4" w14:textId="77777777" w:rsidR="0017131E" w:rsidRPr="0091661C" w:rsidRDefault="0017131E" w:rsidP="007B459A">
      <w:pPr>
        <w:pBdr>
          <w:bottom w:val="single" w:sz="4" w:space="0" w:color="CCCCCC"/>
        </w:pBd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B2BA82" w14:textId="77777777" w:rsidR="0017131E" w:rsidRPr="0091661C" w:rsidRDefault="00000000" w:rsidP="007B459A">
      <w:pPr>
        <w:pStyle w:val="Heading1"/>
        <w:pageBreakBefore/>
        <w:jc w:val="both"/>
        <w:rPr>
          <w:rFonts w:ascii="Times New Roman" w:hAnsi="Times New Roman" w:cs="Times New Roman"/>
          <w:sz w:val="40"/>
          <w:szCs w:val="40"/>
        </w:rPr>
      </w:pPr>
      <w:r w:rsidRPr="0091661C">
        <w:rPr>
          <w:rFonts w:ascii="Times New Roman" w:hAnsi="Times New Roman" w:cs="Times New Roman"/>
          <w:sz w:val="40"/>
          <w:szCs w:val="40"/>
        </w:rPr>
        <w:lastRenderedPageBreak/>
        <w:t>8. Risks, Opportunities &amp; Recommended Actions</w:t>
      </w:r>
    </w:p>
    <w:p w14:paraId="2CA9F0A8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8.1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3330"/>
        <w:gridCol w:w="3600"/>
        <w:gridCol w:w="1711"/>
      </w:tblGrid>
      <w:tr w:rsidR="0017131E" w:rsidRPr="0091661C" w14:paraId="0E06CFC5" w14:textId="77777777" w:rsidTr="007B459A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384C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783A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  <w:b/>
                <w:bCs/>
                <w:color w:val="FFFFFF"/>
              </w:rPr>
              <w:t>Risk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20E3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  <w:b/>
                <w:bCs/>
                <w:color w:val="FFFFFF"/>
              </w:rPr>
              <w:t>Evidence</w:t>
            </w:r>
          </w:p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79CF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  <w:b/>
                <w:bCs/>
                <w:color w:val="FFFFFF"/>
              </w:rPr>
              <w:t>Severity</w:t>
            </w:r>
          </w:p>
        </w:tc>
      </w:tr>
      <w:tr w:rsidR="0017131E" w:rsidRPr="0091661C" w14:paraId="676CB4BE" w14:textId="77777777" w:rsidTr="007B459A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7CAD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D6F5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Month-to-month customer flight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543C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~42.7% churn rate on 3,875 flexible-contract customers</w:t>
            </w:r>
          </w:p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7CD4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High</w:t>
            </w:r>
          </w:p>
        </w:tc>
      </w:tr>
      <w:tr w:rsidR="0017131E" w:rsidRPr="0091661C" w14:paraId="7B037566" w14:textId="77777777" w:rsidTr="007B459A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D429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FB64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Fiber optic dissatisfaction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04A5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~41.9% churn rate — highest of all internet service types</w:t>
            </w:r>
          </w:p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F534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High</w:t>
            </w:r>
          </w:p>
        </w:tc>
      </w:tr>
      <w:tr w:rsidR="0017131E" w:rsidRPr="0091661C" w14:paraId="273174AD" w14:textId="77777777" w:rsidTr="007B459A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BC05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F04C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High-risk segment (M2M + fiber + first year)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5D57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916 customers in this segment churn at 70.2%</w:t>
            </w:r>
          </w:p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A241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Critical</w:t>
            </w:r>
          </w:p>
        </w:tc>
      </w:tr>
      <w:tr w:rsidR="0017131E" w:rsidRPr="0091661C" w14:paraId="2F786A60" w14:textId="77777777" w:rsidTr="007B459A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DB41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0E41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Senior citizen attrition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8B96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1,142 senior customers at ~41.7% churn</w:t>
            </w:r>
          </w:p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C744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High</w:t>
            </w:r>
          </w:p>
        </w:tc>
      </w:tr>
      <w:tr w:rsidR="0017131E" w:rsidRPr="0091661C" w14:paraId="3D1BE2AE" w14:textId="77777777" w:rsidTr="007B459A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A337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539E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No tech support adoption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97AF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~41.6% churn among customers without tech support</w:t>
            </w:r>
          </w:p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F2C1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Medium</w:t>
            </w:r>
          </w:p>
        </w:tc>
      </w:tr>
      <w:tr w:rsidR="0017131E" w:rsidRPr="0091661C" w14:paraId="240BAD36" w14:textId="77777777" w:rsidTr="007B459A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FDC2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DF6E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Early-lifecycle drop-off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64CA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47.4% churn in first 12 months — critical retention window</w:t>
            </w:r>
          </w:p>
        </w:tc>
        <w:tc>
          <w:tcPr>
            <w:tcW w:w="1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6D88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6F00A9EF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8.2 Opportunities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3600"/>
        <w:gridCol w:w="4681"/>
      </w:tblGrid>
      <w:tr w:rsidR="0017131E" w:rsidRPr="0091661C" w14:paraId="55E18D39" w14:textId="77777777" w:rsidTr="007B459A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344F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5F30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  <w:b/>
                <w:bCs/>
                <w:color w:val="FFFFFF"/>
              </w:rPr>
              <w:t>Opportunity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9FE2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  <w:b/>
                <w:bCs/>
                <w:color w:val="FFFFFF"/>
              </w:rPr>
              <w:t>Potential Impact</w:t>
            </w:r>
          </w:p>
        </w:tc>
      </w:tr>
      <w:tr w:rsidR="0017131E" w:rsidRPr="0091661C" w14:paraId="35CDEA7D" w14:textId="77777777" w:rsidTr="007B459A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A1AB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EE6B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Convert M2M customers to annual contracts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5BC8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Cutting M2M churn from 42.7% to 30% would retain ~490 customers, worth ~$36K/month</w:t>
            </w:r>
          </w:p>
        </w:tc>
      </w:tr>
      <w:tr w:rsidR="0017131E" w:rsidRPr="0091661C" w14:paraId="5934C4F0" w14:textId="77777777" w:rsidTr="007B459A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875D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DF56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Tech Support upsell to stable customers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DD4F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2,027 retained internet customers without tech support — upsell opportunity</w:t>
            </w:r>
          </w:p>
        </w:tc>
      </w:tr>
      <w:tr w:rsidR="0017131E" w:rsidRPr="0091661C" w14:paraId="7E2BF979" w14:textId="77777777" w:rsidTr="007B459A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0F97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FCFA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 xml:space="preserve">Loyal customer upgrade </w:t>
            </w:r>
            <w:proofErr w:type="spellStart"/>
            <w:r w:rsidRPr="0091661C">
              <w:rPr>
                <w:rFonts w:ascii="Times New Roman" w:hAnsi="Times New Roman" w:cs="Times New Roman"/>
              </w:rPr>
              <w:t>programme</w:t>
            </w:r>
            <w:proofErr w:type="spellEnd"/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FCF5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2,303 customers with 4+ years tenure — bundled upgrade candidates</w:t>
            </w:r>
          </w:p>
        </w:tc>
      </w:tr>
      <w:tr w:rsidR="0017131E" w:rsidRPr="0091661C" w14:paraId="4CF56087" w14:textId="77777777" w:rsidTr="007B459A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992E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6E39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Senior-friendly simplified plan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6BEF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Reduce senior churn from 41.7% toward 26.5% average</w:t>
            </w:r>
          </w:p>
        </w:tc>
      </w:tr>
      <w:tr w:rsidR="0017131E" w:rsidRPr="0091661C" w14:paraId="027F3AEA" w14:textId="77777777" w:rsidTr="007B459A">
        <w:tblPrEx>
          <w:tblCellMar>
            <w:top w:w="0" w:type="dxa"/>
            <w:bottom w:w="0" w:type="dxa"/>
          </w:tblCellMar>
        </w:tblPrEx>
        <w:tc>
          <w:tcPr>
            <w:tcW w:w="1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F76D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0F61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Automatic payment migration</w:t>
            </w:r>
          </w:p>
        </w:tc>
        <w:tc>
          <w:tcPr>
            <w:tcW w:w="4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BC9B" w14:textId="77777777" w:rsidR="0017131E" w:rsidRPr="0091661C" w:rsidRDefault="00000000" w:rsidP="007B45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61C">
              <w:rPr>
                <w:rFonts w:ascii="Times New Roman" w:hAnsi="Times New Roman" w:cs="Times New Roman"/>
              </w:rPr>
              <w:t>Moving electronic-check payers to auto-pay could reduce their 45% churn</w:t>
            </w:r>
          </w:p>
        </w:tc>
      </w:tr>
    </w:tbl>
    <w:p w14:paraId="6603C3C0" w14:textId="77777777" w:rsidR="0017131E" w:rsidRPr="0091661C" w:rsidRDefault="00000000" w:rsidP="007B459A">
      <w:pPr>
        <w:pStyle w:val="Heading2"/>
        <w:jc w:val="both"/>
        <w:rPr>
          <w:rFonts w:ascii="Times New Roman" w:hAnsi="Times New Roman" w:cs="Times New Roman"/>
          <w:sz w:val="32"/>
          <w:szCs w:val="32"/>
        </w:rPr>
      </w:pPr>
      <w:r w:rsidRPr="0091661C">
        <w:rPr>
          <w:rFonts w:ascii="Times New Roman" w:hAnsi="Times New Roman" w:cs="Times New Roman"/>
          <w:sz w:val="32"/>
          <w:szCs w:val="32"/>
        </w:rPr>
        <w:t>8.3 Recommended Actions</w:t>
      </w:r>
    </w:p>
    <w:p w14:paraId="3979850E" w14:textId="77777777" w:rsidR="0017131E" w:rsidRPr="0091661C" w:rsidRDefault="00000000" w:rsidP="007B459A">
      <w:pPr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b/>
          <w:bCs/>
          <w:color w:val="2E5090"/>
          <w:sz w:val="28"/>
          <w:szCs w:val="28"/>
        </w:rPr>
        <w:t>Action 1 — Targeted Retention Offer for High-Value High-Risk M2M Customers</w:t>
      </w:r>
    </w:p>
    <w:p w14:paraId="05F22E93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>•  Who: Active month-to-month customers with model-predicted churn probability &gt;= 70%</w:t>
      </w:r>
    </w:p>
    <w:p w14:paraId="36F171A1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>•  What: Proactive outreach offering 15-20% annual contract discount, or 3-month tech support trial</w:t>
      </w:r>
    </w:p>
    <w:p w14:paraId="67A0F81D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lastRenderedPageBreak/>
        <w:t>•  Why: Month-to-month churners account for $120,847 of monthly revenue lost (87% of the total)</w:t>
      </w:r>
    </w:p>
    <w:p w14:paraId="255B6D71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>•  Expected impact: every 10% of month-to-month churn prevented protects roughly $12,000/month</w:t>
      </w:r>
    </w:p>
    <w:p w14:paraId="3F825A06" w14:textId="77777777" w:rsidR="0017131E" w:rsidRPr="0091661C" w:rsidRDefault="00000000" w:rsidP="007B459A">
      <w:pPr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b/>
          <w:bCs/>
          <w:color w:val="2E5090"/>
          <w:sz w:val="28"/>
          <w:szCs w:val="28"/>
        </w:rPr>
        <w:t xml:space="preserve">Action 2 — Fiber Optic Satisfaction </w:t>
      </w:r>
      <w:proofErr w:type="spellStart"/>
      <w:r w:rsidRPr="0091661C">
        <w:rPr>
          <w:rFonts w:ascii="Times New Roman" w:hAnsi="Times New Roman" w:cs="Times New Roman"/>
          <w:b/>
          <w:bCs/>
          <w:color w:val="2E5090"/>
          <w:sz w:val="28"/>
          <w:szCs w:val="28"/>
        </w:rPr>
        <w:t>Programme</w:t>
      </w:r>
      <w:proofErr w:type="spellEnd"/>
    </w:p>
    <w:p w14:paraId="06C46715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>•  Who: 3,096 fiber optic customers (41.9% churn rate)</w:t>
      </w:r>
    </w:p>
    <w:p w14:paraId="37B34E5F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>•  What: Proactive service-quality calls, speed upgrade offers, and 'price-lock' promotion to 1-year plan</w:t>
      </w:r>
    </w:p>
    <w:p w14:paraId="74D25FC3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>•  Why: Fiber customers pay the highest monthly charges — retaining them has outsized revenue impact</w:t>
      </w:r>
    </w:p>
    <w:p w14:paraId="45B0A018" w14:textId="77777777" w:rsidR="0017131E" w:rsidRPr="0091661C" w:rsidRDefault="00000000" w:rsidP="007B459A">
      <w:pPr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b/>
          <w:bCs/>
          <w:color w:val="2E5090"/>
          <w:sz w:val="28"/>
          <w:szCs w:val="28"/>
        </w:rPr>
        <w:t xml:space="preserve">Action 3 — New Customer Onboarding </w:t>
      </w:r>
      <w:proofErr w:type="spellStart"/>
      <w:r w:rsidRPr="0091661C">
        <w:rPr>
          <w:rFonts w:ascii="Times New Roman" w:hAnsi="Times New Roman" w:cs="Times New Roman"/>
          <w:b/>
          <w:bCs/>
          <w:color w:val="2E5090"/>
          <w:sz w:val="28"/>
          <w:szCs w:val="28"/>
        </w:rPr>
        <w:t>Programme</w:t>
      </w:r>
      <w:proofErr w:type="spellEnd"/>
    </w:p>
    <w:p w14:paraId="23FA940F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>•  Who: All customers in first 12 months (47.4% churn rate)</w:t>
      </w:r>
    </w:p>
    <w:p w14:paraId="5F0EC708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>•  What: Dedicated onboarding contact, 30/60/90-day automated check-ins, first-year loyalty discount</w:t>
      </w:r>
    </w:p>
    <w:p w14:paraId="54F677F7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 xml:space="preserve">•  Why: Early lifecycle is the highest-risk window; even a </w:t>
      </w:r>
      <w:proofErr w:type="gramStart"/>
      <w:r w:rsidRPr="0091661C">
        <w:rPr>
          <w:rFonts w:ascii="Times New Roman" w:hAnsi="Times New Roman" w:cs="Times New Roman"/>
          <w:sz w:val="24"/>
          <w:szCs w:val="24"/>
        </w:rPr>
        <w:t>10 pp</w:t>
      </w:r>
      <w:proofErr w:type="gramEnd"/>
      <w:r w:rsidRPr="0091661C">
        <w:rPr>
          <w:rFonts w:ascii="Times New Roman" w:hAnsi="Times New Roman" w:cs="Times New Roman"/>
          <w:sz w:val="24"/>
          <w:szCs w:val="24"/>
        </w:rPr>
        <w:t xml:space="preserve"> improvement in this cohort is significant</w:t>
      </w:r>
    </w:p>
    <w:p w14:paraId="0E651474" w14:textId="77777777" w:rsidR="0017131E" w:rsidRPr="0091661C" w:rsidRDefault="00000000" w:rsidP="007B459A">
      <w:pPr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b/>
          <w:bCs/>
          <w:color w:val="2E5090"/>
          <w:sz w:val="28"/>
          <w:szCs w:val="28"/>
        </w:rPr>
        <w:t>Action 4 — Senior Citizen Simplified Plan</w:t>
      </w:r>
    </w:p>
    <w:p w14:paraId="56CE51D3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>•  Who: 1,142 senior customers (41.7% churn rate)</w:t>
      </w:r>
    </w:p>
    <w:p w14:paraId="4425E185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>•  What: 'Senior Simplified' plan — reduced complexity, lower price, priority support line</w:t>
      </w:r>
    </w:p>
    <w:p w14:paraId="7C498B4C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>•  Why: Senior customers are both high-churn and potentially high-CLV if retained</w:t>
      </w:r>
    </w:p>
    <w:p w14:paraId="2C71D69A" w14:textId="77777777" w:rsidR="0017131E" w:rsidRPr="0091661C" w:rsidRDefault="00000000" w:rsidP="007B459A">
      <w:pPr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b/>
          <w:bCs/>
          <w:color w:val="2E5090"/>
          <w:sz w:val="28"/>
          <w:szCs w:val="28"/>
        </w:rPr>
        <w:t>Action 5 — Tech Support Awareness Campaign</w:t>
      </w:r>
    </w:p>
    <w:p w14:paraId="26428C51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>•  Who: 3,473 customers without tech support (41.6% churn rate)</w:t>
      </w:r>
    </w:p>
    <w:p w14:paraId="620DC602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>•  What: In-app and email campaign highlighting support benefits; free first 3 months for at-risk customers</w:t>
      </w:r>
    </w:p>
    <w:p w14:paraId="4572189D" w14:textId="77777777" w:rsidR="0017131E" w:rsidRPr="0091661C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sz w:val="24"/>
          <w:szCs w:val="24"/>
        </w:rPr>
        <w:t>•  Why: Customers with tech support churn ~26 pp less (15.2% vs 41.6%) — a low-cost retention lever</w:t>
      </w:r>
    </w:p>
    <w:p w14:paraId="4527095D" w14:textId="77777777" w:rsidR="0017131E" w:rsidRPr="0091661C" w:rsidRDefault="0017131E" w:rsidP="007B459A">
      <w:pPr>
        <w:pBdr>
          <w:bottom w:val="single" w:sz="4" w:space="0" w:color="CCCCCC"/>
        </w:pBd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9F15D2" w14:textId="77777777" w:rsidR="0017131E" w:rsidRPr="0091661C" w:rsidRDefault="00000000" w:rsidP="007B459A">
      <w:pPr>
        <w:pStyle w:val="Heading1"/>
        <w:pageBreakBefore/>
        <w:jc w:val="both"/>
        <w:rPr>
          <w:rFonts w:ascii="Times New Roman" w:hAnsi="Times New Roman" w:cs="Times New Roman"/>
          <w:sz w:val="40"/>
          <w:szCs w:val="40"/>
        </w:rPr>
      </w:pPr>
      <w:r w:rsidRPr="0091661C">
        <w:rPr>
          <w:rFonts w:ascii="Times New Roman" w:hAnsi="Times New Roman" w:cs="Times New Roman"/>
          <w:sz w:val="40"/>
          <w:szCs w:val="40"/>
        </w:rPr>
        <w:lastRenderedPageBreak/>
        <w:t>9. Conclusion</w:t>
      </w:r>
    </w:p>
    <w:p w14:paraId="4314D562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This project delivered a complete, end-to-end Customer Churn Analysis &amp; Retention Dashboard for a telecom company. Starting from 7,043 customer records, the analysis identified a 26.54% overall churn rate and a monthly revenue at risk of $139,130.85.</w:t>
      </w:r>
    </w:p>
    <w:p w14:paraId="114ADE01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Through systematic exploratory data analysis, five key churn drivers were identified: month-to-month contract type (~42.7% churn), fiber optic internet service (~41.9%), electronic check payment method (~45.3%), first-year tenure (~47.4%), and absence of tech support (~41.6%).</w:t>
      </w:r>
    </w:p>
    <w:p w14:paraId="00339832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The Random Forest classifier achieved a ROC-AUC of 0.8401 on the held-out test set, providing a useful ranking of customers by churn risk. The top features driving model predictions — tenure, contract type, monthly charges — are fully consistent with the EDA findings, validating the model's business interpretability.</w:t>
      </w:r>
    </w:p>
    <w:p w14:paraId="566262BF" w14:textId="77777777" w:rsidR="0017131E" w:rsidRPr="007B459A" w:rsidRDefault="00000000" w:rsidP="007B459A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The interactive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dashboard translates all findings into business-ready pages: an Executive Overview with live KPIs, a Churn Drivers page with annotated charts, and a Risk &amp; Actions page with a live at-risk table, single-customer prediction form, and structured strategic recommendations.</w:t>
      </w:r>
    </w:p>
    <w:p w14:paraId="17731627" w14:textId="77777777" w:rsidR="0017131E" w:rsidRPr="0091661C" w:rsidRDefault="0017131E" w:rsidP="007B459A">
      <w:pPr>
        <w:pBdr>
          <w:bottom w:val="single" w:sz="4" w:space="0" w:color="CCCCCC"/>
        </w:pBd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259316" w14:textId="77777777" w:rsidR="0017131E" w:rsidRPr="0091661C" w:rsidRDefault="00000000" w:rsidP="007B459A">
      <w:pPr>
        <w:pStyle w:val="Heading1"/>
        <w:pageBreakBefore/>
        <w:jc w:val="both"/>
        <w:rPr>
          <w:rFonts w:ascii="Times New Roman" w:hAnsi="Times New Roman" w:cs="Times New Roman"/>
          <w:sz w:val="40"/>
          <w:szCs w:val="40"/>
        </w:rPr>
      </w:pPr>
      <w:r w:rsidRPr="0091661C">
        <w:rPr>
          <w:rFonts w:ascii="Times New Roman" w:hAnsi="Times New Roman" w:cs="Times New Roman"/>
          <w:sz w:val="40"/>
          <w:szCs w:val="40"/>
        </w:rPr>
        <w:lastRenderedPageBreak/>
        <w:t>10. Future Scope</w:t>
      </w:r>
    </w:p>
    <w:p w14:paraId="7D888051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91661C">
        <w:rPr>
          <w:rFonts w:ascii="Times New Roman" w:hAnsi="Times New Roman" w:cs="Times New Roman"/>
          <w:sz w:val="24"/>
          <w:szCs w:val="24"/>
        </w:rPr>
        <w:t>•</w:t>
      </w:r>
      <w:r w:rsidRPr="007B459A">
        <w:rPr>
          <w:rFonts w:ascii="Times New Roman" w:hAnsi="Times New Roman" w:cs="Times New Roman"/>
          <w:sz w:val="28"/>
          <w:szCs w:val="28"/>
        </w:rPr>
        <w:t xml:space="preserve">  Hyperparameter tuning (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RandomizedSearchCV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>) for both models to improve ROC-AUC.</w:t>
      </w:r>
    </w:p>
    <w:p w14:paraId="78AF8EA5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•  Threshold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optimisation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: tune the classification threshold to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minimise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the cost of false negatives.</w:t>
      </w:r>
    </w:p>
    <w:p w14:paraId="02004D73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•  Add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for comparison with tree ensemble baselines.</w:t>
      </w:r>
    </w:p>
    <w:p w14:paraId="60A7F1D8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SHAP (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SHapley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Additive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exPlanations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>) for per-customer explainability in the Risk &amp; Actions page.</w:t>
      </w:r>
    </w:p>
    <w:p w14:paraId="25F5C6BC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Time-series churn analysis: incorporate monthly snapshots to detect churn velocity trends.</w:t>
      </w:r>
    </w:p>
    <w:p w14:paraId="60D5EDEA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A/B test integration: track the impact of implemented retention actions directly in the dashboard.</w:t>
      </w:r>
    </w:p>
    <w:p w14:paraId="0A151F20" w14:textId="77777777" w:rsidR="0017131E" w:rsidRPr="007B459A" w:rsidRDefault="00000000" w:rsidP="007B459A">
      <w:pPr>
        <w:spacing w:before="60" w:after="60"/>
        <w:ind w:left="720" w:hanging="360"/>
        <w:jc w:val="both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•  Real-time scoring pipeline: expose the trained model as a REST API for CRM integration.</w:t>
      </w:r>
    </w:p>
    <w:p w14:paraId="6757BE6D" w14:textId="77777777" w:rsidR="0017131E" w:rsidRPr="0091661C" w:rsidRDefault="0017131E" w:rsidP="007B459A">
      <w:pPr>
        <w:pBdr>
          <w:bottom w:val="single" w:sz="4" w:space="0" w:color="CCCCCC"/>
        </w:pBd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315775" w14:textId="77777777" w:rsidR="0017131E" w:rsidRPr="0091661C" w:rsidRDefault="00000000" w:rsidP="007B459A">
      <w:pPr>
        <w:pStyle w:val="Heading1"/>
        <w:pageBreakBefore/>
        <w:jc w:val="both"/>
        <w:rPr>
          <w:rFonts w:ascii="Times New Roman" w:hAnsi="Times New Roman" w:cs="Times New Roman"/>
          <w:sz w:val="40"/>
          <w:szCs w:val="40"/>
        </w:rPr>
      </w:pPr>
      <w:r w:rsidRPr="0091661C">
        <w:rPr>
          <w:rFonts w:ascii="Times New Roman" w:hAnsi="Times New Roman" w:cs="Times New Roman"/>
          <w:sz w:val="40"/>
          <w:szCs w:val="40"/>
        </w:rPr>
        <w:lastRenderedPageBreak/>
        <w:t>11. References</w:t>
      </w:r>
    </w:p>
    <w:p w14:paraId="7BF4E0A4" w14:textId="03636F7A" w:rsidR="0017131E" w:rsidRPr="007B459A" w:rsidRDefault="00000000" w:rsidP="007B459A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[1] IBM Telco Customer Churn Dataset. Kaggle. </w:t>
      </w:r>
      <w:r w:rsidR="007B459A">
        <w:rPr>
          <w:rFonts w:ascii="Times New Roman" w:hAnsi="Times New Roman" w:cs="Times New Roman"/>
          <w:sz w:val="28"/>
          <w:szCs w:val="28"/>
        </w:rPr>
        <w:t xml:space="preserve">     </w:t>
      </w:r>
      <w:hyperlink r:id="rId20" w:history="1">
        <w:r w:rsidR="00D30986" w:rsidRPr="00411E84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https://www.kaggle.com/datasets/blastchar/telco-customer-churn</w:t>
        </w:r>
      </w:hyperlink>
    </w:p>
    <w:p w14:paraId="7C5AFC2B" w14:textId="60A5ADC1" w:rsidR="0017131E" w:rsidRPr="007B459A" w:rsidRDefault="00000000" w:rsidP="007B459A">
      <w:pPr>
        <w:spacing w:before="60" w:after="6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[2]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Pedregosa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et al. (2011). Scikit-learn: Machine Learning in Python. JMLR 12, 2825-2830.</w:t>
      </w:r>
    </w:p>
    <w:p w14:paraId="498902EB" w14:textId="42F74F84" w:rsidR="0017131E" w:rsidRPr="007B459A" w:rsidRDefault="00000000" w:rsidP="007B459A">
      <w:pPr>
        <w:spacing w:before="60" w:after="6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[3]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Documentation. https://docs.streamlit.io</w:t>
      </w:r>
    </w:p>
    <w:p w14:paraId="2841D09B" w14:textId="558303E3" w:rsidR="0017131E" w:rsidRPr="007B459A" w:rsidRDefault="00000000" w:rsidP="007B459A">
      <w:pPr>
        <w:spacing w:before="60" w:after="6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[4]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gramStart"/>
      <w:r w:rsidRPr="007B459A">
        <w:rPr>
          <w:rFonts w:ascii="Times New Roman" w:hAnsi="Times New Roman" w:cs="Times New Roman"/>
          <w:sz w:val="28"/>
          <w:szCs w:val="28"/>
        </w:rPr>
        <w:t>Open Source</w:t>
      </w:r>
      <w:proofErr w:type="gramEnd"/>
      <w:r w:rsidRPr="007B459A">
        <w:rPr>
          <w:rFonts w:ascii="Times New Roman" w:hAnsi="Times New Roman" w:cs="Times New Roman"/>
          <w:sz w:val="28"/>
          <w:szCs w:val="28"/>
        </w:rPr>
        <w:t xml:space="preserve"> Graphing Library. https://plotly.com/python/</w:t>
      </w:r>
    </w:p>
    <w:p w14:paraId="7FEC9EF9" w14:textId="633EB735" w:rsidR="0017131E" w:rsidRPr="007B459A" w:rsidRDefault="00000000" w:rsidP="007B459A">
      <w:pPr>
        <w:spacing w:before="60" w:after="6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 xml:space="preserve">[5] </w:t>
      </w:r>
      <w:proofErr w:type="spellStart"/>
      <w:r w:rsidRPr="007B459A">
        <w:rPr>
          <w:rFonts w:ascii="Times New Roman" w:hAnsi="Times New Roman" w:cs="Times New Roman"/>
          <w:sz w:val="28"/>
          <w:szCs w:val="28"/>
        </w:rPr>
        <w:t>Breiman</w:t>
      </w:r>
      <w:proofErr w:type="spellEnd"/>
      <w:r w:rsidRPr="007B459A">
        <w:rPr>
          <w:rFonts w:ascii="Times New Roman" w:hAnsi="Times New Roman" w:cs="Times New Roman"/>
          <w:sz w:val="28"/>
          <w:szCs w:val="28"/>
        </w:rPr>
        <w:t>, L. (2001). Random Forests. Machine Learning, 45(1), 5-32.</w:t>
      </w:r>
    </w:p>
    <w:p w14:paraId="339BC067" w14:textId="6F0DBB10" w:rsidR="0017131E" w:rsidRPr="007B459A" w:rsidRDefault="00000000" w:rsidP="007B459A">
      <w:pPr>
        <w:spacing w:before="60" w:after="6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[6] Cox, D.R. (1958). The Regression Analysis of Binary Sequences. JRSS-B 20(2), 215-232.</w:t>
      </w:r>
    </w:p>
    <w:p w14:paraId="7930F253" w14:textId="756E3E80" w:rsidR="0017131E" w:rsidRPr="007B459A" w:rsidRDefault="00000000" w:rsidP="007B459A">
      <w:pPr>
        <w:spacing w:before="60" w:after="6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7B459A">
        <w:rPr>
          <w:rFonts w:ascii="Times New Roman" w:hAnsi="Times New Roman" w:cs="Times New Roman"/>
          <w:sz w:val="28"/>
          <w:szCs w:val="28"/>
        </w:rPr>
        <w:t>[7] Fawcett, T. (2006). An Introduction to ROC Analysis. Pattern Recognition Letters, 27(8), 861-874.</w:t>
      </w:r>
    </w:p>
    <w:p w14:paraId="65CD6238" w14:textId="77777777" w:rsidR="0017131E" w:rsidRPr="0091661C" w:rsidRDefault="0017131E" w:rsidP="007B459A">
      <w:pPr>
        <w:pBdr>
          <w:bottom w:val="single" w:sz="4" w:space="0" w:color="CCCCCC"/>
        </w:pBd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3DF927" w14:textId="77777777" w:rsidR="0017131E" w:rsidRPr="0091661C" w:rsidRDefault="00000000" w:rsidP="007B459A">
      <w:pPr>
        <w:pStyle w:val="Heading1"/>
        <w:pageBreakBefore/>
        <w:jc w:val="both"/>
        <w:rPr>
          <w:rFonts w:ascii="Times New Roman" w:hAnsi="Times New Roman" w:cs="Times New Roman"/>
          <w:sz w:val="40"/>
          <w:szCs w:val="40"/>
        </w:rPr>
      </w:pPr>
      <w:r w:rsidRPr="0091661C">
        <w:rPr>
          <w:rFonts w:ascii="Times New Roman" w:hAnsi="Times New Roman" w:cs="Times New Roman"/>
          <w:sz w:val="40"/>
          <w:szCs w:val="40"/>
        </w:rPr>
        <w:lastRenderedPageBreak/>
        <w:t>Appendix A. Dashboard Screenshots</w:t>
      </w:r>
    </w:p>
    <w:p w14:paraId="4B8C1BD8" w14:textId="145ED08D" w:rsidR="0017131E" w:rsidRPr="00D30986" w:rsidRDefault="00000000" w:rsidP="00D30986">
      <w:pP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  <w:r w:rsidRPr="00D30986">
        <w:rPr>
          <w:rFonts w:ascii="Times New Roman" w:hAnsi="Times New Roman" w:cs="Times New Roman"/>
          <w:sz w:val="28"/>
          <w:szCs w:val="28"/>
        </w:rPr>
        <w:t xml:space="preserve">Screenshots of the running </w:t>
      </w:r>
      <w:proofErr w:type="spellStart"/>
      <w:r w:rsidRPr="00D30986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30986">
        <w:rPr>
          <w:rFonts w:ascii="Times New Roman" w:hAnsi="Times New Roman" w:cs="Times New Roman"/>
          <w:sz w:val="28"/>
          <w:szCs w:val="28"/>
        </w:rPr>
        <w:t xml:space="preserve"> dashboard (</w:t>
      </w:r>
      <w:proofErr w:type="spellStart"/>
      <w:r w:rsidRPr="00D30986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30986">
        <w:rPr>
          <w:rFonts w:ascii="Times New Roman" w:hAnsi="Times New Roman" w:cs="Times New Roman"/>
          <w:sz w:val="28"/>
          <w:szCs w:val="28"/>
        </w:rPr>
        <w:t xml:space="preserve"> run</w:t>
      </w:r>
      <w:r w:rsidR="00D30986">
        <w:rPr>
          <w:rFonts w:ascii="Times New Roman" w:hAnsi="Times New Roman" w:cs="Times New Roman"/>
          <w:sz w:val="28"/>
          <w:szCs w:val="28"/>
        </w:rPr>
        <w:t xml:space="preserve"> </w:t>
      </w:r>
      <w:r w:rsidRPr="00D30986">
        <w:rPr>
          <w:rFonts w:ascii="Times New Roman" w:hAnsi="Times New Roman" w:cs="Times New Roman"/>
          <w:sz w:val="28"/>
          <w:szCs w:val="28"/>
        </w:rPr>
        <w:t>churn_retention_app.py).</w:t>
      </w:r>
    </w:p>
    <w:p w14:paraId="5914FCAB" w14:textId="39CA855E" w:rsidR="0017131E" w:rsidRPr="0091661C" w:rsidRDefault="0091661C" w:rsidP="007B459A">
      <w:pPr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shd w:val="clear" w:color="auto" w:fill="FFFF00"/>
        </w:rPr>
        <w:drawing>
          <wp:anchor distT="0" distB="0" distL="114300" distR="114300" simplePos="0" relativeHeight="251658240" behindDoc="1" locked="0" layoutInCell="1" allowOverlap="1" wp14:anchorId="75034501" wp14:editId="60FDD8C6">
            <wp:simplePos x="0" y="0"/>
            <wp:positionH relativeFrom="column">
              <wp:posOffset>137160</wp:posOffset>
            </wp:positionH>
            <wp:positionV relativeFrom="paragraph">
              <wp:posOffset>314960</wp:posOffset>
            </wp:positionV>
            <wp:extent cx="5943600" cy="5234940"/>
            <wp:effectExtent l="0" t="0" r="0" b="3810"/>
            <wp:wrapTight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 w:rsidRPr="0091661C">
        <w:rPr>
          <w:rFonts w:ascii="Times New Roman" w:hAnsi="Times New Roman" w:cs="Times New Roman"/>
          <w:b/>
          <w:bCs/>
          <w:color w:val="2E5090"/>
          <w:sz w:val="28"/>
          <w:szCs w:val="28"/>
        </w:rPr>
        <w:t>Figure A1 - Executive Overview page</w:t>
      </w:r>
    </w:p>
    <w:p w14:paraId="152E05BD" w14:textId="449596E4" w:rsidR="0017131E" w:rsidRPr="0091661C" w:rsidRDefault="0017131E" w:rsidP="007B459A">
      <w:pPr>
        <w:spacing w:before="80"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219EE06E" w14:textId="77777777" w:rsidR="0017131E" w:rsidRPr="0091661C" w:rsidRDefault="00000000" w:rsidP="007B459A">
      <w:pPr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b/>
          <w:bCs/>
          <w:color w:val="2E5090"/>
          <w:sz w:val="28"/>
          <w:szCs w:val="28"/>
        </w:rPr>
        <w:t>Figure A2 - Churn Drivers page</w:t>
      </w:r>
    </w:p>
    <w:p w14:paraId="67149B59" w14:textId="03D632B4" w:rsidR="0017131E" w:rsidRPr="0091661C" w:rsidRDefault="0091661C" w:rsidP="007B459A">
      <w:pPr>
        <w:spacing w:before="8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shd w:val="clear" w:color="auto" w:fill="FFFF00"/>
        </w:rPr>
        <w:lastRenderedPageBreak/>
        <w:drawing>
          <wp:anchor distT="0" distB="0" distL="114300" distR="114300" simplePos="0" relativeHeight="251659264" behindDoc="1" locked="0" layoutInCell="1" allowOverlap="1" wp14:anchorId="5086C081" wp14:editId="10A33A3C">
            <wp:simplePos x="0" y="0"/>
            <wp:positionH relativeFrom="column">
              <wp:posOffset>152400</wp:posOffset>
            </wp:positionH>
            <wp:positionV relativeFrom="paragraph">
              <wp:posOffset>0</wp:posOffset>
            </wp:positionV>
            <wp:extent cx="5943600" cy="6560820"/>
            <wp:effectExtent l="0" t="0" r="0" b="0"/>
            <wp:wrapTight wrapText="bothSides">
              <wp:wrapPolygon edited="0">
                <wp:start x="0" y="0"/>
                <wp:lineTo x="0" y="21512"/>
                <wp:lineTo x="21531" y="21512"/>
                <wp:lineTo x="2153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9898CD" w14:textId="77777777" w:rsidR="0017131E" w:rsidRPr="0091661C" w:rsidRDefault="00000000" w:rsidP="007B459A">
      <w:pPr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  <w:r w:rsidRPr="0091661C">
        <w:rPr>
          <w:rFonts w:ascii="Times New Roman" w:hAnsi="Times New Roman" w:cs="Times New Roman"/>
          <w:b/>
          <w:bCs/>
          <w:color w:val="2E5090"/>
          <w:sz w:val="28"/>
          <w:szCs w:val="28"/>
        </w:rPr>
        <w:t>Figure A3 - Risk &amp; Actions page</w:t>
      </w:r>
    </w:p>
    <w:p w14:paraId="252AA06E" w14:textId="4645C756" w:rsidR="0017131E" w:rsidRPr="0091661C" w:rsidRDefault="0091661C" w:rsidP="007B459A">
      <w:pPr>
        <w:spacing w:before="8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shd w:val="clear" w:color="auto" w:fill="FFFF00"/>
        </w:rPr>
        <w:lastRenderedPageBreak/>
        <w:drawing>
          <wp:anchor distT="0" distB="0" distL="114300" distR="114300" simplePos="0" relativeHeight="251660288" behindDoc="1" locked="0" layoutInCell="1" allowOverlap="1" wp14:anchorId="42AC3D7D" wp14:editId="62E5455F">
            <wp:simplePos x="0" y="0"/>
            <wp:positionH relativeFrom="column">
              <wp:posOffset>0</wp:posOffset>
            </wp:positionH>
            <wp:positionV relativeFrom="paragraph">
              <wp:posOffset>-7216775</wp:posOffset>
            </wp:positionV>
            <wp:extent cx="4739640" cy="8221980"/>
            <wp:effectExtent l="0" t="0" r="3810" b="7620"/>
            <wp:wrapTight wrapText="bothSides">
              <wp:wrapPolygon edited="0">
                <wp:start x="0" y="0"/>
                <wp:lineTo x="0" y="21570"/>
                <wp:lineTo x="21531" y="21570"/>
                <wp:lineTo x="2153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F595906" w14:textId="129572AD" w:rsidR="0017131E" w:rsidRPr="0091661C" w:rsidRDefault="0017131E" w:rsidP="007B459A">
      <w:pPr>
        <w:pBdr>
          <w:top w:val="single" w:sz="4" w:space="0" w:color="E5E7EB"/>
        </w:pBdr>
        <w:spacing w:before="800" w:after="40"/>
        <w:jc w:val="both"/>
        <w:rPr>
          <w:rFonts w:ascii="Times New Roman" w:hAnsi="Times New Roman" w:cs="Times New Roman"/>
          <w:sz w:val="24"/>
          <w:szCs w:val="24"/>
        </w:rPr>
      </w:pPr>
    </w:p>
    <w:sectPr w:rsidR="0017131E" w:rsidRPr="0091661C">
      <w:headerReference w:type="default" r:id="rId24"/>
      <w:footerReference w:type="default" r:id="rId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2A9F0" w14:textId="77777777" w:rsidR="00F41A44" w:rsidRDefault="00F41A44">
      <w:r>
        <w:separator/>
      </w:r>
    </w:p>
  </w:endnote>
  <w:endnote w:type="continuationSeparator" w:id="0">
    <w:p w14:paraId="0E780957" w14:textId="77777777" w:rsidR="00F41A44" w:rsidRDefault="00F41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61815" w14:textId="77777777" w:rsidR="0017131E" w:rsidRDefault="00000000">
    <w:pPr>
      <w:pBdr>
        <w:top w:val="single" w:sz="4" w:space="0" w:color="2E5090"/>
      </w:pBdr>
      <w:spacing w:before="80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91661C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91661C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    IBM </w:t>
    </w:r>
    <w:proofErr w:type="spellStart"/>
    <w:r>
      <w:rPr>
        <w:color w:val="9CA3AF"/>
        <w:sz w:val="18"/>
        <w:szCs w:val="18"/>
      </w:rPr>
      <w:t>SkillsBuild</w:t>
    </w:r>
    <w:proofErr w:type="spellEnd"/>
    <w:r>
      <w:rPr>
        <w:color w:val="9CA3AF"/>
        <w:sz w:val="18"/>
        <w:szCs w:val="18"/>
      </w:rPr>
      <w:t xml:space="preserve"> — Telco Churn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A03FD" w14:textId="77777777" w:rsidR="00F41A44" w:rsidRDefault="00F41A44">
      <w:r>
        <w:separator/>
      </w:r>
    </w:p>
  </w:footnote>
  <w:footnote w:type="continuationSeparator" w:id="0">
    <w:p w14:paraId="2514DB20" w14:textId="77777777" w:rsidR="00F41A44" w:rsidRDefault="00F41A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D76B3" w14:textId="77777777" w:rsidR="0017131E" w:rsidRDefault="00000000">
    <w:pPr>
      <w:pBdr>
        <w:bottom w:val="single" w:sz="4" w:space="0" w:color="2E5090"/>
      </w:pBdr>
      <w:spacing w:after="80"/>
    </w:pPr>
    <w:r>
      <w:rPr>
        <w:color w:val="6B7280"/>
        <w:sz w:val="18"/>
        <w:szCs w:val="18"/>
      </w:rPr>
      <w:t>Telco Customer Churn Analysis &amp; Retention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F4D3D"/>
    <w:multiLevelType w:val="hybridMultilevel"/>
    <w:tmpl w:val="C4D0DB04"/>
    <w:lvl w:ilvl="0" w:tplc="CFCEA086">
      <w:start w:val="1"/>
      <w:numFmt w:val="bullet"/>
      <w:lvlText w:val="●"/>
      <w:lvlJc w:val="left"/>
      <w:pPr>
        <w:ind w:left="720" w:hanging="360"/>
      </w:pPr>
    </w:lvl>
    <w:lvl w:ilvl="1" w:tplc="B4F494DE">
      <w:start w:val="1"/>
      <w:numFmt w:val="bullet"/>
      <w:lvlText w:val="○"/>
      <w:lvlJc w:val="left"/>
      <w:pPr>
        <w:ind w:left="1440" w:hanging="360"/>
      </w:pPr>
    </w:lvl>
    <w:lvl w:ilvl="2" w:tplc="785CC91E">
      <w:start w:val="1"/>
      <w:numFmt w:val="bullet"/>
      <w:lvlText w:val="■"/>
      <w:lvlJc w:val="left"/>
      <w:pPr>
        <w:ind w:left="2160" w:hanging="360"/>
      </w:pPr>
    </w:lvl>
    <w:lvl w:ilvl="3" w:tplc="FDB6D616">
      <w:start w:val="1"/>
      <w:numFmt w:val="bullet"/>
      <w:lvlText w:val="●"/>
      <w:lvlJc w:val="left"/>
      <w:pPr>
        <w:ind w:left="2880" w:hanging="360"/>
      </w:pPr>
    </w:lvl>
    <w:lvl w:ilvl="4" w:tplc="B2F6231A">
      <w:start w:val="1"/>
      <w:numFmt w:val="bullet"/>
      <w:lvlText w:val="○"/>
      <w:lvlJc w:val="left"/>
      <w:pPr>
        <w:ind w:left="3600" w:hanging="360"/>
      </w:pPr>
    </w:lvl>
    <w:lvl w:ilvl="5" w:tplc="E7148DE8">
      <w:start w:val="1"/>
      <w:numFmt w:val="bullet"/>
      <w:lvlText w:val="■"/>
      <w:lvlJc w:val="left"/>
      <w:pPr>
        <w:ind w:left="4320" w:hanging="360"/>
      </w:pPr>
    </w:lvl>
    <w:lvl w:ilvl="6" w:tplc="6206FA0E">
      <w:start w:val="1"/>
      <w:numFmt w:val="bullet"/>
      <w:lvlText w:val="●"/>
      <w:lvlJc w:val="left"/>
      <w:pPr>
        <w:ind w:left="5040" w:hanging="360"/>
      </w:pPr>
    </w:lvl>
    <w:lvl w:ilvl="7" w:tplc="B2A609C4">
      <w:start w:val="1"/>
      <w:numFmt w:val="bullet"/>
      <w:lvlText w:val="●"/>
      <w:lvlJc w:val="left"/>
      <w:pPr>
        <w:ind w:left="5760" w:hanging="360"/>
      </w:pPr>
    </w:lvl>
    <w:lvl w:ilvl="8" w:tplc="F9745F06">
      <w:start w:val="1"/>
      <w:numFmt w:val="bullet"/>
      <w:lvlText w:val="●"/>
      <w:lvlJc w:val="left"/>
      <w:pPr>
        <w:ind w:left="6480" w:hanging="360"/>
      </w:pPr>
    </w:lvl>
  </w:abstractNum>
  <w:num w:numId="1" w16cid:durableId="203565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31E"/>
    <w:rsid w:val="0017131E"/>
    <w:rsid w:val="007B459A"/>
    <w:rsid w:val="00812BD6"/>
    <w:rsid w:val="008B146F"/>
    <w:rsid w:val="0091661C"/>
    <w:rsid w:val="00D30986"/>
    <w:rsid w:val="00E667D3"/>
    <w:rsid w:val="00F4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939A"/>
  <w15:docId w15:val="{AF8FA66A-52E7-4C08-8722-20059B07D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F2328"/>
        <w:sz w:val="22"/>
        <w:szCs w:val="22"/>
        <w:lang w:val="en-US" w:eastAsia="en-US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2E5090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B45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kaggle.com/datasets/blastchar/telco-customer-chur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kaggle.com/datasets/blastchar/telco-customer-chur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2365</Words>
  <Characters>13482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Purujith Kadekar</cp:lastModifiedBy>
  <cp:revision>5</cp:revision>
  <dcterms:created xsi:type="dcterms:W3CDTF">2026-09-23T18:32:00Z</dcterms:created>
  <dcterms:modified xsi:type="dcterms:W3CDTF">2026-09-23T18:46:00Z</dcterms:modified>
</cp:coreProperties>
</file>