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Client engagement models</w:t>
      </w:r>
    </w:p>
    <w:p>
      <w:r>
        <w:t>LexDesk / Advocate CRM — product design note</w:t>
      </w:r>
    </w:p>
    <w:p>
      <w:r>
        <w:rPr>
          <w:b/>
        </w:rPr>
        <w:t xml:space="preserve">Phase: </w:t>
      </w:r>
      <w:r>
        <w:t xml:space="preserve">Design (pre-development). </w:t>
      </w:r>
      <w:r>
        <w:rPr>
          <w:b/>
        </w:rPr>
        <w:t xml:space="preserve">Audience: </w:t>
      </w:r>
      <w:r>
        <w:t>Product, design, leadership.</w:t>
      </w:r>
    </w:p>
    <w:p>
      <w:pPr>
        <w:pStyle w:val="Heading1"/>
      </w:pPr>
      <w:r>
        <w:t>1. Purpose</w:t>
      </w:r>
    </w:p>
    <w:p>
      <w:r>
        <w:t>This document captures agreed client-side engagement rules: how a client enters the platform, whom they connect with, and how matters and messaging behave for a pure solo advocate, for an advocate who practises independently on the platform while employed or affiliated with a firm, and for a firm-led model where assignment and reassignment of advocates is controlled by the firm.</w:t>
      </w:r>
    </w:p>
    <w:p>
      <w:pPr>
        <w:pStyle w:val="Heading1"/>
      </w:pPr>
      <w:r>
        <w:t>2. Global product rules (fixed)</w:t>
      </w:r>
    </w:p>
    <w:p>
      <w:pPr>
        <w:pStyle w:val="ListBullet"/>
      </w:pPr>
      <w:r>
        <w:t>Geography: India-wide framing; court and matter metadata must support all states even if integrations roll out incrementally.</w:t>
      </w:r>
    </w:p>
    <w:p>
      <w:pPr>
        <w:pStyle w:val="ListBullet"/>
      </w:pPr>
      <w:r>
        <w:t>Messaging: chat is available only between linked clients and the appropriate advocate-side parties (no open messaging from directory).</w:t>
      </w:r>
    </w:p>
    <w:p>
      <w:pPr>
        <w:pStyle w:val="ListBullet"/>
      </w:pPr>
      <w:r>
        <w:t>Dual-sided product: advocate CRM and client app are co-equal; permissions and matter context must be explicit in each flow.</w:t>
      </w:r>
    </w:p>
    <w:p>
      <w:pPr>
        <w:pStyle w:val="Heading1"/>
      </w:pPr>
      <w:r>
        <w:t>3. Three client selection approaches</w:t>
      </w:r>
    </w:p>
    <w:p>
      <w:pPr>
        <w:pStyle w:val="Heading2"/>
      </w:pPr>
      <w:r>
        <w:t>3.1 Path 1 — Pure individual advocate</w:t>
      </w:r>
    </w:p>
    <w:p>
      <w:r>
        <w:t>The advocate operates as a solo practice on the platform. On the client app, the client discovers that advocate, sends a connection request, and after acceptance sees that same advocate as the face of every matter. There is no firm orchestration layer visible to the client.</w:t>
      </w:r>
    </w:p>
    <w:p>
      <w:pPr>
        <w:pStyle w:val="Heading2"/>
      </w:pPr>
      <w:r>
        <w:t>3.2 Path 2 — Advocate who belongs to a firm but uses the platform independently</w:t>
      </w:r>
    </w:p>
    <w:p>
      <w:r>
        <w:t>The advocate is part of a firm in real life (and may appear on a firm roster in CRM), but on the client experience they opt into being contactable as an individual. The client connects to that person; matters and updates are anchored to that advocate. The platform does not, for that relationship, apply firm-driven reassignment rules unless the product later migrates that client to Path 3 with consent.</w:t>
      </w:r>
    </w:p>
    <w:p>
      <w:pPr>
        <w:pStyle w:val="Heading2"/>
      </w:pPr>
      <w:r>
        <w:t>3.3 Path 3 — Firm-led engagement</w:t>
      </w:r>
    </w:p>
    <w:p>
      <w:r>
        <w:t>The client engages with the firm (or with a firm-designated lead such as a managing partner). The firm accepts the client, opens matters under the firm, and assigns a lead advocate per matter. The firm may change the assigned advocate later; the client app should show firm identity together with the current matter lead so expectations stay clear.</w:t>
      </w:r>
    </w:p>
    <w:p>
      <w:pPr>
        <w:pStyle w:val="Heading1"/>
      </w:pPr>
      <w:r>
        <w:t>4. Client-side display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Whom the client primarily sees</w:t>
            </w:r>
          </w:p>
        </w:tc>
        <w:tc>
          <w:tcPr>
            <w:tcW w:type="dxa" w:w="2880"/>
          </w:tcPr>
          <w:p>
            <w:r>
              <w:t>Who controls advocate assignment</w:t>
            </w:r>
          </w:p>
        </w:tc>
      </w:tr>
      <w:tr>
        <w:tc>
          <w:tcPr>
            <w:tcW w:type="dxa" w:w="2880"/>
          </w:tcPr>
          <w:p>
            <w:r>
              <w:t>1 — Pure individual</w:t>
            </w:r>
          </w:p>
        </w:tc>
        <w:tc>
          <w:tcPr>
            <w:tcW w:type="dxa" w:w="2880"/>
          </w:tcPr>
          <w:p>
            <w:r>
              <w:t>Single advocate only</w:t>
            </w:r>
          </w:p>
        </w:tc>
        <w:tc>
          <w:tcPr>
            <w:tcW w:type="dxa" w:w="2880"/>
          </w:tcPr>
          <w:p>
            <w:r>
              <w:t>N/A (same advocate)</w:t>
            </w:r>
          </w:p>
        </w:tc>
      </w:tr>
      <w:tr>
        <w:tc>
          <w:tcPr>
            <w:tcW w:type="dxa" w:w="2880"/>
          </w:tcPr>
          <w:p>
            <w:r>
              <w:t>2 — Firm member, independent on platform</w:t>
            </w:r>
          </w:p>
        </w:tc>
        <w:tc>
          <w:tcPr>
            <w:tcW w:type="dxa" w:w="2880"/>
          </w:tcPr>
          <w:p>
            <w:r>
              <w:t>The chosen advocate (person-first)</w:t>
            </w:r>
          </w:p>
        </w:tc>
        <w:tc>
          <w:tcPr>
            <w:tcW w:type="dxa" w:w="2880"/>
          </w:tcPr>
          <w:p>
            <w:r>
              <w:t>Effectively the advocate for that linked relationship; firm does not reassign on platform for that path</w:t>
            </w:r>
          </w:p>
        </w:tc>
      </w:tr>
      <w:tr>
        <w:tc>
          <w:tcPr>
            <w:tcW w:type="dxa" w:w="2880"/>
          </w:tcPr>
          <w:p>
            <w:r>
              <w:t>3 — Firm-led</w:t>
            </w:r>
          </w:p>
        </w:tc>
        <w:tc>
          <w:tcPr>
            <w:tcW w:type="dxa" w:w="2880"/>
          </w:tcPr>
          <w:p>
            <w:r>
              <w:t>Firm name plus lead advocate per matter</w:t>
            </w:r>
          </w:p>
        </w:tc>
        <w:tc>
          <w:tcPr>
            <w:tcW w:type="dxa" w:w="2880"/>
          </w:tcPr>
          <w:p>
            <w:r>
              <w:t>Firm (assignment and reassignment)</w:t>
            </w:r>
          </w:p>
        </w:tc>
      </w:tr>
    </w:tbl>
    <w:p/>
    <w:p>
      <w:pPr>
        <w:pStyle w:val="Heading1"/>
      </w:pPr>
      <w:r>
        <w:t>5. Flow diagrams</w:t>
      </w:r>
    </w:p>
    <w:p>
      <w:r>
        <w:t>High-level flows for design and stakeholder review. Not a technical specification.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710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three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1 — Overview: three client entry paths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31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1_pure_individ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2 — Path 1: pure individual advocate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30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2_firm_member_independ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3 — Path 2: firm member, independent client relationship on platform</w:t>
      </w:r>
    </w:p>
    <w:p/>
    <w:p>
      <w:r>
        <w:drawing>
          <wp:inline xmlns:a="http://schemas.openxmlformats.org/drawingml/2006/main" xmlns:pic="http://schemas.openxmlformats.org/drawingml/2006/picture">
            <wp:extent cx="5486400" cy="8463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3_firm_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63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4 — Path 3: firm-led assignment and reassignment</w:t>
      </w:r>
    </w:p>
    <w:p>
      <w:pPr>
        <w:pStyle w:val="Heading1"/>
      </w:pPr>
      <w:r>
        <w:t>6. Open design follow-ups (optional)</w:t>
      </w:r>
    </w:p>
    <w:p>
      <w:pPr>
        <w:pStyle w:val="ListBullet"/>
      </w:pPr>
      <w:r>
        <w:t>Connection acceptance: whether Path 3 requests are accepted only by firm admin, only by matter lead, or by configurable firm policy.</w:t>
      </w:r>
    </w:p>
    <w:p>
      <w:pPr>
        <w:pStyle w:val="ListBullet"/>
      </w:pPr>
      <w:r>
        <w:t>Migration: rules if a Path 2 client later moves under firm-led Path 3.</w:t>
      </w:r>
    </w:p>
    <w:p>
      <w:pPr>
        <w:pStyle w:val="ListBullet"/>
      </w:pPr>
      <w:r>
        <w:t>Directory: whether firm-branded listings are required alongside advocate profiles.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