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Sample SuperStore - Business Case</w:t>
      </w:r>
    </w:p>
    <w:p>
      <w:pPr>
        <w:jc w:val="center"/>
      </w:pPr>
      <w:r>
        <w:rPr>
          <w:i/>
        </w:rPr>
        <w:t>Source: SampleSuperStore_BA Analytics.ipynb | Business Analysis Analytics</w:t>
      </w:r>
    </w:p>
    <w:p/>
    <w:p>
      <w:pPr>
        <w:pStyle w:val="Heading1"/>
      </w:pPr>
      <w:r>
        <w:t>Situation Statement</w:t>
      </w:r>
    </w:p>
    <w:p>
      <w:r>
        <w:t>A single lowest-sales opportunity is surfaced from the bottom 50% so limited commercial capacity can focus on the most actionable product/location combination.</w:t>
      </w:r>
    </w:p>
    <w:p>
      <w:pPr>
        <w:pStyle w:val="Heading1"/>
      </w:pPr>
      <w:r>
        <w:t>Gap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Current state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Desired state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Gap</w:t>
            </w:r>
          </w:p>
        </w:tc>
        <w:tc>
          <w:tcPr>
            <w:tcW w:type="dxa" w:w="2556"/>
            <w:vAlign w:val="center"/>
            <w:shd w:fill="D9EAF7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556"/>
            <w:vAlign w:val="center"/>
          </w:tcPr>
          <w:p>
            <w:r>
              <w:t>Manual low-sales review</w:t>
            </w:r>
          </w:p>
        </w:tc>
        <w:tc>
          <w:tcPr>
            <w:tcW w:type="dxa" w:w="2556"/>
            <w:vAlign w:val="center"/>
          </w:tcPr>
          <w:p>
            <w:r>
              <w:t>Automated repeatable alert</w:t>
            </w:r>
          </w:p>
        </w:tc>
        <w:tc>
          <w:tcPr>
            <w:tcW w:type="dxa" w:w="2556"/>
            <w:vAlign w:val="center"/>
          </w:tcPr>
          <w:p>
            <w:r>
              <w:t>No standard workflow</w:t>
            </w:r>
          </w:p>
        </w:tc>
        <w:tc>
          <w:tcPr>
            <w:tcW w:type="dxa" w:w="2556"/>
            <w:vAlign w:val="center"/>
          </w:tcPr>
          <w:p>
            <w:r>
              <w:t>Schedule notebook/report</w:t>
            </w:r>
          </w:p>
        </w:tc>
      </w:tr>
      <w:tr>
        <w:tc>
          <w:tcPr>
            <w:tcW w:type="dxa" w:w="2556"/>
            <w:vAlign w:val="center"/>
          </w:tcPr>
          <w:p>
            <w:r>
              <w:t>Reasons are implicit</w:t>
            </w:r>
          </w:p>
        </w:tc>
        <w:tc>
          <w:tcPr>
            <w:tcW w:type="dxa" w:w="2556"/>
            <w:vAlign w:val="center"/>
          </w:tcPr>
          <w:p>
            <w:r>
              <w:t>Reasons recorded and validated</w:t>
            </w:r>
          </w:p>
        </w:tc>
        <w:tc>
          <w:tcPr>
            <w:tcW w:type="dxa" w:w="2556"/>
            <w:vAlign w:val="center"/>
          </w:tcPr>
          <w:p>
            <w:r>
              <w:t>No root-cause ownership</w:t>
            </w:r>
          </w:p>
        </w:tc>
        <w:tc>
          <w:tcPr>
            <w:tcW w:type="dxa" w:w="2556"/>
            <w:vAlign w:val="center"/>
          </w:tcPr>
          <w:p>
            <w:r>
              <w:t>Interviews and reason fields</w:t>
            </w:r>
          </w:p>
        </w:tc>
      </w:tr>
      <w:tr>
        <w:tc>
          <w:tcPr>
            <w:tcW w:type="dxa" w:w="2556"/>
            <w:vAlign w:val="center"/>
          </w:tcPr>
          <w:p>
            <w:r>
              <w:t>Actions not traced to outcomes</w:t>
            </w:r>
          </w:p>
        </w:tc>
        <w:tc>
          <w:tcPr>
            <w:tcW w:type="dxa" w:w="2556"/>
            <w:vAlign w:val="center"/>
          </w:tcPr>
          <w:p>
            <w:r>
              <w:t>Owned actions with measures</w:t>
            </w:r>
          </w:p>
        </w:tc>
        <w:tc>
          <w:tcPr>
            <w:tcW w:type="dxa" w:w="2556"/>
            <w:vAlign w:val="center"/>
          </w:tcPr>
          <w:p>
            <w:r>
              <w:t>Limited accountability</w:t>
            </w:r>
          </w:p>
        </w:tc>
        <w:tc>
          <w:tcPr>
            <w:tcW w:type="dxa" w:w="2556"/>
            <w:vAlign w:val="center"/>
          </w:tcPr>
          <w:p>
            <w:r>
              <w:t>RTM, Kanban, scorecard</w:t>
            </w:r>
          </w:p>
        </w:tc>
      </w:tr>
    </w:tbl>
    <w:p/>
    <w:p>
      <w:pPr>
        <w:pStyle w:val="Heading1"/>
      </w:pPr>
      <w:r>
        <w:t>Cost-Benefit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Cost</w:t>
            </w:r>
          </w:p>
        </w:tc>
        <w:tc>
          <w:tcPr>
            <w:tcW w:type="dxa" w:w="5112"/>
            <w:vAlign w:val="center"/>
            <w:shd w:fill="D9EAF7"/>
          </w:tcPr>
          <w:p>
            <w:r>
              <w:rPr>
                <w:b/>
              </w:rPr>
              <w:t>Benefit</w:t>
            </w:r>
          </w:p>
        </w:tc>
      </w:tr>
      <w:tr>
        <w:tc>
          <w:tcPr>
            <w:tcW w:type="dxa" w:w="5112"/>
            <w:vAlign w:val="center"/>
          </w:tcPr>
          <w:p>
            <w:r>
              <w:t>BA and stakeholder time</w:t>
            </w:r>
          </w:p>
        </w:tc>
        <w:tc>
          <w:tcPr>
            <w:tcW w:type="dxa" w:w="5112"/>
            <w:vAlign w:val="center"/>
          </w:tcPr>
          <w:p>
            <w:r>
              <w:t>Faster prioritization and less analysis effort</w:t>
            </w:r>
          </w:p>
        </w:tc>
      </w:tr>
      <w:tr>
        <w:tc>
          <w:tcPr>
            <w:tcW w:type="dxa" w:w="5112"/>
            <w:vAlign w:val="center"/>
          </w:tcPr>
          <w:p>
            <w:r>
              <w:t>Automation maintenance</w:t>
            </w:r>
          </w:p>
        </w:tc>
        <w:tc>
          <w:tcPr>
            <w:tcW w:type="dxa" w:w="5112"/>
            <w:vAlign w:val="center"/>
          </w:tcPr>
          <w:p>
            <w:r>
              <w:t>Repeatable monthly monitoring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Targeted promotions/assortment changes</w:t>
            </w:r>
          </w:p>
        </w:tc>
        <w:tc>
          <w:tcPr>
            <w:tcW w:type="dxa" w:w="5112"/>
            <w:vAlign w:val="center"/>
          </w:tcPr>
          <w:p>
            <w:r>
              <w:t>Potential sales and margin recovery</w:t>
            </w:r>
          </w:p>
        </w:tc>
      </w:tr>
      <w:tr>
        <w:tc>
          <w:tcPr>
            <w:tcW w:type="dxa" w:w="5112"/>
            <w:vAlign w:val="center"/>
          </w:tcPr>
          <w:p>
            <w:r>
              <w:t>Training and transition</w:t>
            </w:r>
          </w:p>
        </w:tc>
        <w:tc>
          <w:tcPr>
            <w:tcW w:type="dxa" w:w="5112"/>
            <w:vAlign w:val="center"/>
          </w:tcPr>
          <w:p>
            <w:r>
              <w:t>Sustained adoption</w:t>
            </w:r>
          </w:p>
        </w:tc>
      </w:tr>
    </w:tbl>
    <w:p/>
    <w:p>
      <w:pPr>
        <w:pStyle w:val="Heading1"/>
      </w:pPr>
      <w:r>
        <w:t>Value Chain Analysis</w:t>
      </w:r>
    </w:p>
    <w:p>
      <w:r>
        <w:rPr>
          <w:rFonts w:ascii="Consolas" w:hAnsi="Consolas"/>
        </w:rPr>
        <w:t>Data capture -&gt; Data quality -&gt; Sales aggregation -&gt; Opportunity prioritization -&gt; Root-cause validation -&gt; Commercial action -&gt; Outcome measurement</w:t>
      </w:r>
      <w:r>
        <w:t>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