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SuperStore - Evaluating the Solution</w:t>
      </w:r>
    </w:p>
    <w:p>
      <w:pPr>
        <w:jc w:val="center"/>
      </w:pPr>
      <w:r>
        <w:rPr>
          <w:i/>
        </w:rPr>
        <w:t>Source: SampleSuperStore_BA Analytics.ipynb | Business Analysis Analytics</w:t>
      </w:r>
    </w:p>
    <w:p/>
    <w:p>
      <w:pPr>
        <w:pStyle w:val="Heading1"/>
      </w:pPr>
      <w:r>
        <w:t>Testing &amp; Verification</w:t>
      </w:r>
    </w:p>
    <w:p>
      <w:r>
        <w:t>Verify file existence, required columns, date/numeric parsing, month selection, median, bottom-half filter, deterministic tie-break, row count, Excel schema, and non-empty WHY fields. Reconcile the selected row to a direct grouped-sales calculation.</w:t>
      </w:r>
    </w:p>
    <w:p>
      <w:pPr>
        <w:pStyle w:val="Heading1"/>
      </w:pPr>
      <w:r>
        <w:t>User Acceptance Testing (UAT)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3408"/>
            <w:vAlign w:val="center"/>
          </w:tcPr>
          <w:p>
            <w:r>
              <w:t>Run with August 2026 data</w:t>
            </w:r>
          </w:p>
        </w:tc>
        <w:tc>
          <w:tcPr>
            <w:tcW w:type="dxa" w:w="3408"/>
            <w:vAlign w:val="center"/>
          </w:tcPr>
          <w:p>
            <w:r>
              <w:t>One lowest-sales row returned</w:t>
            </w:r>
          </w:p>
        </w:tc>
        <w:tc>
          <w:tcPr>
            <w:tcW w:type="dxa" w:w="3408"/>
            <w:vAlign w:val="center"/>
          </w:tcPr>
          <w:p>
            <w:r>
              <w:t>Sales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t>Inspect dimensions</w:t>
            </w:r>
          </w:p>
        </w:tc>
        <w:tc>
          <w:tcPr>
            <w:tcW w:type="dxa" w:w="3408"/>
            <w:vAlign w:val="center"/>
          </w:tcPr>
          <w:p>
            <w:r>
              <w:t>Values match source</w:t>
            </w:r>
          </w:p>
        </w:tc>
        <w:tc>
          <w:tcPr>
            <w:tcW w:type="dxa" w:w="3408"/>
            <w:vAlign w:val="center"/>
          </w:tcPr>
          <w:p>
            <w:r>
              <w:t>Merchandising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Review WHYs</w:t>
            </w:r>
          </w:p>
        </w:tc>
        <w:tc>
          <w:tcPr>
            <w:tcW w:type="dxa" w:w="3408"/>
            <w:vAlign w:val="center"/>
          </w:tcPr>
          <w:p>
            <w:r>
              <w:t>Five useful hypotheses</w:t>
            </w:r>
          </w:p>
        </w:tc>
        <w:tc>
          <w:tcPr>
            <w:tcW w:type="dxa" w:w="3408"/>
            <w:vAlign w:val="center"/>
          </w:tcPr>
          <w:p>
            <w:r>
              <w:t>Regional Manager</w:t>
            </w:r>
          </w:p>
        </w:tc>
      </w:tr>
      <w:tr>
        <w:tc>
          <w:tcPr>
            <w:tcW w:type="dxa" w:w="3408"/>
            <w:vAlign w:val="center"/>
          </w:tcPr>
          <w:p>
            <w:r>
              <w:t>Open workbook</w:t>
            </w:r>
          </w:p>
        </w:tc>
        <w:tc>
          <w:tcPr>
            <w:tcW w:type="dxa" w:w="3408"/>
            <w:vAlign w:val="center"/>
          </w:tcPr>
          <w:p>
            <w:r>
              <w:t>Columns and values usable</w:t>
            </w:r>
          </w:p>
        </w:tc>
        <w:tc>
          <w:tcPr>
            <w:tcW w:type="dxa" w:w="3408"/>
            <w:vAlign w:val="center"/>
          </w:tcPr>
          <w:p>
            <w:r>
              <w:t>Sponsor</w:t>
            </w:r>
          </w:p>
        </w:tc>
      </w:tr>
      <w:tr>
        <w:tc>
          <w:tcPr>
            <w:tcW w:type="dxa" w:w="3408"/>
            <w:vAlign w:val="center"/>
          </w:tcPr>
          <w:p>
            <w:r>
              <w:t>Repeat next month</w:t>
            </w:r>
          </w:p>
        </w:tc>
        <w:tc>
          <w:tcPr>
            <w:tcW w:type="dxa" w:w="3408"/>
            <w:vAlign w:val="center"/>
          </w:tcPr>
          <w:p>
            <w:r>
              <w:t>Month updates without code changes</w:t>
            </w:r>
          </w:p>
        </w:tc>
        <w:tc>
          <w:tcPr>
            <w:tcW w:type="dxa" w:w="3408"/>
            <w:vAlign w:val="center"/>
          </w:tcPr>
          <w:p>
            <w:r>
              <w:t>Data/BA</w:t>
            </w:r>
          </w:p>
        </w:tc>
      </w:tr>
    </w:tbl>
    <w:p/>
    <w:p>
      <w:pPr>
        <w:pStyle w:val="Heading1"/>
      </w:pPr>
      <w:r>
        <w:t>Balanced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Perspective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556"/>
            <w:vAlign w:val="center"/>
          </w:tcPr>
          <w:p>
            <w:r>
              <w:t>Financial</w:t>
            </w:r>
          </w:p>
        </w:tc>
        <w:tc>
          <w:tcPr>
            <w:tcW w:type="dxa" w:w="2556"/>
            <w:vAlign w:val="center"/>
          </w:tcPr>
          <w:p>
            <w:r>
              <w:t>Improve contribution</w:t>
            </w:r>
          </w:p>
        </w:tc>
        <w:tc>
          <w:tcPr>
            <w:tcW w:type="dxa" w:w="2556"/>
            <w:vAlign w:val="center"/>
          </w:tcPr>
          <w:p>
            <w:r>
              <w:t>Sales/profit of selected item</w:t>
            </w:r>
          </w:p>
        </w:tc>
        <w:tc>
          <w:tcPr>
            <w:tcW w:type="dxa" w:w="2556"/>
            <w:vAlign w:val="center"/>
          </w:tcPr>
          <w:p>
            <w:r>
              <w:t>Positive trend</w:t>
            </w:r>
          </w:p>
        </w:tc>
      </w:tr>
      <w:tr>
        <w:tc>
          <w:tcPr>
            <w:tcW w:type="dxa" w:w="2556"/>
            <w:vAlign w:val="center"/>
          </w:tcPr>
          <w:p>
            <w:r>
              <w:t>Customer</w:t>
            </w:r>
          </w:p>
        </w:tc>
        <w:tc>
          <w:tcPr>
            <w:tcW w:type="dxa" w:w="2556"/>
            <w:vAlign w:val="center"/>
          </w:tcPr>
          <w:p>
            <w:r>
              <w:t>Improve local relevance</w:t>
            </w:r>
          </w:p>
        </w:tc>
        <w:tc>
          <w:tcPr>
            <w:tcW w:type="dxa" w:w="2556"/>
            <w:vAlign w:val="center"/>
          </w:tcPr>
          <w:p>
            <w:r>
              <w:t>Demand/availability feedback</w:t>
            </w:r>
          </w:p>
        </w:tc>
        <w:tc>
          <w:tcPr>
            <w:tcW w:type="dxa" w:w="2556"/>
            <w:vAlign w:val="center"/>
          </w:tcPr>
          <w:p>
            <w:r>
              <w:t>Monthly review</w:t>
            </w:r>
          </w:p>
        </w:tc>
      </w:tr>
      <w:tr>
        <w:tc>
          <w:tcPr>
            <w:tcW w:type="dxa" w:w="2556"/>
            <w:vAlign w:val="center"/>
          </w:tcPr>
          <w:p>
            <w:r>
              <w:t>Internal process</w:t>
            </w:r>
          </w:p>
        </w:tc>
        <w:tc>
          <w:tcPr>
            <w:tcW w:type="dxa" w:w="2556"/>
            <w:vAlign w:val="center"/>
          </w:tcPr>
          <w:p>
            <w:r>
              <w:t>Reduce identification time</w:t>
            </w:r>
          </w:p>
        </w:tc>
        <w:tc>
          <w:tcPr>
            <w:tcW w:type="dxa" w:w="2556"/>
            <w:vAlign w:val="center"/>
          </w:tcPr>
          <w:p>
            <w:r>
              <w:t>Report cycle time</w:t>
            </w:r>
          </w:p>
        </w:tc>
        <w:tc>
          <w:tcPr>
            <w:tcW w:type="dxa" w:w="2556"/>
            <w:vAlign w:val="center"/>
          </w:tcPr>
          <w:p>
            <w:r>
              <w:t>Same business day</w:t>
            </w:r>
          </w:p>
        </w:tc>
      </w:tr>
      <w:tr>
        <w:tc>
          <w:tcPr>
            <w:tcW w:type="dxa" w:w="2556"/>
            <w:vAlign w:val="center"/>
          </w:tcPr>
          <w:p>
            <w:r>
              <w:t>Learning and growth</w:t>
            </w:r>
          </w:p>
        </w:tc>
        <w:tc>
          <w:tcPr>
            <w:tcW w:type="dxa" w:w="2556"/>
            <w:vAlign w:val="center"/>
          </w:tcPr>
          <w:p>
            <w:r>
              <w:t>Build adoption</w:t>
            </w:r>
          </w:p>
        </w:tc>
        <w:tc>
          <w:tcPr>
            <w:tcW w:type="dxa" w:w="2556"/>
            <w:vAlign w:val="center"/>
          </w:tcPr>
          <w:p>
            <w:r>
              <w:t>UAT/adoption rate</w:t>
            </w:r>
          </w:p>
        </w:tc>
        <w:tc>
          <w:tcPr>
            <w:tcW w:type="dxa" w:w="2556"/>
            <w:vAlign w:val="center"/>
          </w:tcPr>
          <w:p>
            <w:r>
              <w:t>90% of target users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