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Release and Transition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Heading1"/>
      </w:pPr>
      <w:r>
        <w:t>Release Roadmap</w:t>
      </w:r>
    </w:p>
    <w:p>
      <w:pPr>
        <w:pStyle w:val="ListNumber"/>
      </w:pPr>
      <w:r>
        <w:t>Prototype: notebook and one-row output.</w:t>
      </w:r>
    </w:p>
    <w:p>
      <w:pPr>
        <w:pStyle w:val="ListNumber"/>
      </w:pPr>
      <w:r>
        <w:t>Pilot: validate with Sales and Merchandising for one cycle.</w:t>
      </w:r>
    </w:p>
    <w:p>
      <w:pPr>
        <w:pStyle w:val="ListNumber"/>
      </w:pPr>
      <w:r>
        <w:t>Controlled release: publish report with owner and review cadence.</w:t>
      </w:r>
    </w:p>
    <w:p>
      <w:pPr>
        <w:pStyle w:val="ListNumber"/>
      </w:pPr>
      <w:r>
        <w:t>Scale: automate scheduling, add inventory/promotion data, and expand monitoring.</w:t>
      </w:r>
    </w:p>
    <w:p>
      <w:pPr>
        <w:pStyle w:val="Heading1"/>
      </w:pPr>
      <w:r>
        <w:t>Transition Planning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Transition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People</w:t>
            </w:r>
          </w:p>
        </w:tc>
        <w:tc>
          <w:tcPr>
            <w:tcW w:type="dxa" w:w="5112"/>
            <w:vAlign w:val="center"/>
          </w:tcPr>
          <w:p>
            <w:r>
              <w:t>Train Sales, Merchandising, and Regional Managers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</w:t>
            </w:r>
          </w:p>
        </w:tc>
        <w:tc>
          <w:tcPr>
            <w:tcW w:type="dxa" w:w="5112"/>
            <w:vAlign w:val="center"/>
          </w:tcPr>
          <w:p>
            <w:r>
              <w:t>Publish monthly runbook and escalation path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Technology</w:t>
            </w:r>
          </w:p>
        </w:tc>
        <w:tc>
          <w:tcPr>
            <w:tcW w:type="dxa" w:w="5112"/>
            <w:vAlign w:val="center"/>
          </w:tcPr>
          <w:p>
            <w:r>
              <w:t>Store notebook, input, output, and version metadata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</w:t>
            </w:r>
          </w:p>
        </w:tc>
        <w:tc>
          <w:tcPr>
            <w:tcW w:type="dxa" w:w="5112"/>
            <w:vAlign w:val="center"/>
          </w:tcPr>
          <w:p>
            <w:r>
              <w:t>Define schema checks, refresh timing, and retention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</w:t>
            </w:r>
          </w:p>
        </w:tc>
        <w:tc>
          <w:tcPr>
            <w:tcW w:type="dxa" w:w="5112"/>
            <w:vAlign w:val="center"/>
          </w:tcPr>
          <w:p>
            <w:r>
              <w:t>Assign business and Data/IT support</w:t>
            </w:r>
          </w:p>
        </w:tc>
      </w:tr>
      <w:tr>
        <w:tc>
          <w:tcPr>
            <w:tcW w:type="dxa" w:w="5112"/>
            <w:vAlign w:val="center"/>
          </w:tcPr>
          <w:p>
            <w:r>
              <w:t>Governance</w:t>
            </w:r>
          </w:p>
        </w:tc>
        <w:tc>
          <w:tcPr>
            <w:tcW w:type="dxa" w:w="5112"/>
            <w:vAlign w:val="center"/>
          </w:tcPr>
          <w:p>
            <w:r>
              <w:t>Review access, CCB changes, and benefits monthly</w:t>
            </w:r>
          </w:p>
        </w:tc>
      </w:tr>
    </w:tbl>
    <w:p/>
    <w:p>
      <w:pPr>
        <w:pStyle w:val="Heading1"/>
      </w:pPr>
      <w:r>
        <w:t>Lessons Learned (Kaizen)</w:t>
      </w:r>
    </w:p>
    <w:p>
      <w:pPr>
        <w:pStyle w:val="ListBullet"/>
      </w:pPr>
      <w:r>
        <w:t>Start with one decision-ready row to reduce noise and increase ownership.</w:t>
      </w:r>
    </w:p>
    <w:p>
      <w:pPr>
        <w:pStyle w:val="ListBullet"/>
      </w:pPr>
      <w:r>
        <w:t>Make the analysis month and threshold visible to prevent ambiguity.</w:t>
      </w:r>
    </w:p>
    <w:p>
      <w:pPr>
        <w:pStyle w:val="ListBullet"/>
      </w:pPr>
      <w:r>
        <w:t>Treat WHYs as hypotheses until validated with operational evidence.</w:t>
      </w:r>
    </w:p>
    <w:p>
      <w:pPr>
        <w:pStyle w:val="ListBullet"/>
      </w:pPr>
      <w:r>
        <w:t>Add inventory, stock-out, promotion, and competitor data next.</w:t>
      </w:r>
    </w:p>
    <w:p>
      <w:pPr>
        <w:pStyle w:val="ListBullet"/>
      </w:pPr>
      <w:r>
        <w:t>Review the scorecard monthly and convert lessons into backlog items.</w:t>
      </w:r>
    </w:p>
    <w:p>
      <w:pPr>
        <w:pStyle w:val="Heading1"/>
      </w:pPr>
      <w:r>
        <w:t>Conclusion</w:t>
      </w:r>
    </w:p>
    <w:p>
      <w:r>
        <w:t>The notebook provides an auditable BA lifecycle from assessment through transition, while the executable analysis produces the requested single lowest-sales observation for the last completed month.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