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SuperStore - Stakeholders</w:t>
      </w:r>
    </w:p>
    <w:p>
      <w:pPr>
        <w:jc w:val="center"/>
      </w:pPr>
      <w:r>
        <w:rPr>
          <w:i/>
        </w:rPr>
        <w:t>Source: SampleSuperStore_BA Analytics.ipynb | Business Analysis Analytics</w:t>
      </w:r>
    </w:p>
    <w:p/>
    <w:p>
      <w:pPr>
        <w:pStyle w:val="Heading1"/>
      </w:pPr>
      <w:r>
        <w:t>RACI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D9EAF7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61"/>
            <w:vAlign w:val="center"/>
            <w:shd w:fill="D9EAF7"/>
          </w:tcPr>
          <w:p>
            <w:r>
              <w:rPr>
                <w:b/>
              </w:rPr>
              <w:t>Executive Sponsor</w:t>
            </w:r>
          </w:p>
        </w:tc>
        <w:tc>
          <w:tcPr>
            <w:tcW w:type="dxa" w:w="1461"/>
            <w:vAlign w:val="center"/>
            <w:shd w:fill="D9EAF7"/>
          </w:tcPr>
          <w:p>
            <w:r>
              <w:rPr>
                <w:b/>
              </w:rPr>
              <w:t>Sales Lead</w:t>
            </w:r>
          </w:p>
        </w:tc>
        <w:tc>
          <w:tcPr>
            <w:tcW w:type="dxa" w:w="1461"/>
            <w:vAlign w:val="center"/>
            <w:shd w:fill="D9EAF7"/>
          </w:tcPr>
          <w:p>
            <w:r>
              <w:rPr>
                <w:b/>
              </w:rPr>
              <w:t>Merchandising</w:t>
            </w:r>
          </w:p>
        </w:tc>
        <w:tc>
          <w:tcPr>
            <w:tcW w:type="dxa" w:w="1461"/>
            <w:vAlign w:val="center"/>
            <w:shd w:fill="D9EAF7"/>
          </w:tcPr>
          <w:p>
            <w:r>
              <w:rPr>
                <w:b/>
              </w:rPr>
              <w:t>Data/BA</w:t>
            </w:r>
          </w:p>
        </w:tc>
        <w:tc>
          <w:tcPr>
            <w:tcW w:type="dxa" w:w="1461"/>
            <w:vAlign w:val="center"/>
            <w:shd w:fill="D9EAF7"/>
          </w:tcPr>
          <w:p>
            <w:r>
              <w:rPr>
                <w:b/>
              </w:rPr>
              <w:t>Finance</w:t>
            </w:r>
          </w:p>
        </w:tc>
        <w:tc>
          <w:tcPr>
            <w:tcW w:type="dxa" w:w="1461"/>
            <w:vAlign w:val="center"/>
            <w:shd w:fill="D9EAF7"/>
          </w:tcPr>
          <w:p>
            <w:r>
              <w:rPr>
                <w:b/>
              </w:rPr>
              <w:t>IT</w:t>
            </w:r>
          </w:p>
        </w:tc>
      </w:tr>
      <w:tr>
        <w:tc>
          <w:tcPr>
            <w:tcW w:type="dxa" w:w="1461"/>
            <w:vAlign w:val="center"/>
          </w:tcPr>
          <w:p>
            <w:r>
              <w:t>Approve objective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</w:tr>
      <w:tr>
        <w:tc>
          <w:tcPr>
            <w:tcW w:type="dxa" w:w="1461"/>
            <w:vAlign w:val="center"/>
          </w:tcPr>
          <w:p>
            <w:r>
              <w:t>Define metric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R/A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</w:tr>
      <w:tr>
        <w:tc>
          <w:tcPr>
            <w:tcW w:type="dxa" w:w="1461"/>
            <w:vAlign w:val="center"/>
          </w:tcPr>
          <w:p>
            <w:r>
              <w:t>Validate causes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  <w:tc>
          <w:tcPr>
            <w:tcW w:type="dxa" w:w="1461"/>
            <w:vAlign w:val="center"/>
          </w:tcPr>
          <w:p>
            <w:r>
              <w:t>R/A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</w:tr>
      <w:tr>
        <w:tc>
          <w:tcPr>
            <w:tcW w:type="dxa" w:w="1461"/>
            <w:vAlign w:val="center"/>
          </w:tcPr>
          <w:p>
            <w:r>
              <w:t>Approve action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</w:tr>
      <w:tr>
        <w:tc>
          <w:tcPr>
            <w:tcW w:type="dxa" w:w="1461"/>
            <w:vAlign w:val="center"/>
          </w:tcPr>
          <w:p>
            <w:r>
              <w:t>Publish report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R/A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</w:tr>
      <w:tr>
        <w:tc>
          <w:tcPr>
            <w:tcW w:type="dxa" w:w="1461"/>
            <w:vAlign w:val="center"/>
          </w:tcPr>
          <w:p>
            <w:r>
              <w:t>Transition support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</w:tr>
    </w:tbl>
    <w:p/>
    <w:p>
      <w:r>
        <w:rPr>
          <w:rFonts w:ascii="Consolas" w:hAnsi="Consolas"/>
        </w:rPr>
        <w:t>R</w:t>
      </w:r>
      <w:r>
        <w:t xml:space="preserve"> Responsible, </w:t>
      </w:r>
      <w:r>
        <w:rPr>
          <w:rFonts w:ascii="Consolas" w:hAnsi="Consolas"/>
        </w:rPr>
        <w:t>A</w:t>
      </w:r>
      <w:r>
        <w:t xml:space="preserve"> Accountable, </w:t>
      </w:r>
      <w:r>
        <w:rPr>
          <w:rFonts w:ascii="Consolas" w:hAnsi="Consolas"/>
        </w:rPr>
        <w:t>C</w:t>
      </w:r>
      <w:r>
        <w:t xml:space="preserve"> Consulted, </w:t>
      </w:r>
      <w:r>
        <w:rPr>
          <w:rFonts w:ascii="Consolas" w:hAnsi="Consolas"/>
        </w:rPr>
        <w:t>I</w:t>
      </w:r>
      <w:r>
        <w:t xml:space="preserve"> Informed.</w:t>
      </w:r>
    </w:p>
    <w:p>
      <w:pPr>
        <w:pStyle w:val="Heading1"/>
      </w:pPr>
      <w:r>
        <w:t>Stakeholder Map - Matrix and Power/Interest Grid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Power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Interest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Engagement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Executive Sponsor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  <w:tc>
          <w:tcPr>
            <w:tcW w:type="dxa" w:w="2556"/>
            <w:vAlign w:val="center"/>
          </w:tcPr>
          <w:p>
            <w:r>
              <w:t>Manage expectations</w:t>
            </w:r>
          </w:p>
        </w:tc>
      </w:tr>
      <w:tr>
        <w:tc>
          <w:tcPr>
            <w:tcW w:type="dxa" w:w="2556"/>
            <w:vAlign w:val="center"/>
          </w:tcPr>
          <w:p>
            <w:r>
              <w:t>Sales Lead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  <w:tc>
          <w:tcPr>
            <w:tcW w:type="dxa" w:w="2556"/>
            <w:vAlign w:val="center"/>
          </w:tcPr>
          <w:p>
            <w:r>
              <w:t>Manage closely</w:t>
            </w:r>
          </w:p>
        </w:tc>
      </w:tr>
      <w:tr>
        <w:tc>
          <w:tcPr>
            <w:tcW w:type="dxa" w:w="2556"/>
            <w:vAlign w:val="center"/>
          </w:tcPr>
          <w:p>
            <w:r>
              <w:t>Merchandising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  <w:tc>
          <w:tcPr>
            <w:tcW w:type="dxa" w:w="2556"/>
            <w:vAlign w:val="center"/>
          </w:tcPr>
          <w:p>
            <w:r>
              <w:t>Collaborate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Data/BA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  <w:tc>
          <w:tcPr>
            <w:tcW w:type="dxa" w:w="2556"/>
            <w:vAlign w:val="center"/>
          </w:tcPr>
          <w:p>
            <w:r>
              <w:t>Deliver and facilitate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Finance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  <w:tc>
          <w:tcPr>
            <w:tcW w:type="dxa" w:w="2556"/>
            <w:vAlign w:val="center"/>
          </w:tcPr>
          <w:p>
            <w:r>
              <w:t>Consult and validate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IT/Data Platform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  <w:tc>
          <w:tcPr>
            <w:tcW w:type="dxa" w:w="2556"/>
            <w:vAlign w:val="center"/>
          </w:tcPr>
          <w:p>
            <w:r>
              <w:t>Keep satisfied</w:t>
            </w:r>
          </w:p>
        </w:tc>
      </w:tr>
      <w:tr>
        <w:tc>
          <w:tcPr>
            <w:tcW w:type="dxa" w:w="2556"/>
            <w:vAlign w:val="center"/>
          </w:tcPr>
          <w:p>
            <w:r>
              <w:t>Regional Managers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  <w:tc>
          <w:tcPr>
            <w:tcW w:type="dxa" w:w="2556"/>
            <w:vAlign w:val="center"/>
          </w:tcPr>
          <w:p>
            <w:r>
              <w:t>Keep informed and involve</w:t>
            </w:r>
          </w:p>
        </w:tc>
      </w:tr>
    </w:tbl>
    <w:p/>
    <w:p>
      <w:r>
        <w:t>High power/high interest: Sales Lead, Sponsor, Merchandising. High power/low interest: Finance, IT. Low power/high interest: Regional Managers. Low power/low interest: monitor.</w:t>
      </w:r>
    </w:p>
    <w:p>
      <w:pPr>
        <w:pStyle w:val="Heading1"/>
      </w:pPr>
      <w:r>
        <w:t>Onion Map</w:t>
      </w:r>
    </w:p>
    <w:p>
      <w:r>
        <w:rPr>
          <w:rFonts w:ascii="Consolas" w:hAnsi="Consolas"/>
        </w:rPr>
        <w:t>Core:</w:t>
      </w:r>
      <w:r>
        <w:t xml:space="preserve"> BA, Sales Lead, Merchandising.</w:t>
      </w:r>
    </w:p>
    <w:p>
      <w:r>
        <w:rPr>
          <w:rFonts w:ascii="Consolas" w:hAnsi="Consolas"/>
        </w:rPr>
        <w:t>Inner ring:</w:t>
      </w:r>
      <w:r>
        <w:t xml:space="preserve"> Executive Sponsor, Finance, IT/Data Platform.</w:t>
      </w:r>
    </w:p>
    <w:p>
      <w:r>
        <w:rPr>
          <w:rFonts w:ascii="Consolas" w:hAnsi="Consolas"/>
        </w:rPr>
        <w:t>Outer ring:</w:t>
      </w:r>
      <w:r>
        <w:t xml:space="preserve"> Regional Managers, Customer teams, suppliers, end customers.</w:t>
      </w:r>
    </w:p>
    <w:p>
      <w:pPr>
        <w:pStyle w:val="Heading1"/>
      </w:pPr>
      <w:r>
        <w:t>Engagement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Desired state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Decision makers</w:t>
            </w:r>
          </w:p>
        </w:tc>
        <w:tc>
          <w:tcPr>
            <w:tcW w:type="dxa" w:w="2556"/>
            <w:vAlign w:val="center"/>
          </w:tcPr>
          <w:p>
            <w:r>
              <w:t>Aware</w:t>
            </w:r>
          </w:p>
        </w:tc>
        <w:tc>
          <w:tcPr>
            <w:tcW w:type="dxa" w:w="2556"/>
            <w:vAlign w:val="center"/>
          </w:tcPr>
          <w:p>
            <w:r>
              <w:t>Supportive</w:t>
            </w:r>
          </w:p>
        </w:tc>
        <w:tc>
          <w:tcPr>
            <w:tcW w:type="dxa" w:w="2556"/>
            <w:vAlign w:val="center"/>
          </w:tcPr>
          <w:p>
            <w:r>
              <w:t>Steering reviews</w:t>
            </w:r>
          </w:p>
        </w:tc>
      </w:tr>
      <w:tr>
        <w:tc>
          <w:tcPr>
            <w:tcW w:type="dxa" w:w="2556"/>
            <w:vAlign w:val="center"/>
          </w:tcPr>
          <w:p>
            <w:r>
              <w:t>Operational owners</w:t>
            </w:r>
          </w:p>
        </w:tc>
        <w:tc>
          <w:tcPr>
            <w:tcW w:type="dxa" w:w="2556"/>
            <w:vAlign w:val="center"/>
          </w:tcPr>
          <w:p>
            <w:r>
              <w:t>Mixed</w:t>
            </w:r>
          </w:p>
        </w:tc>
        <w:tc>
          <w:tcPr>
            <w:tcW w:type="dxa" w:w="2556"/>
            <w:vAlign w:val="center"/>
          </w:tcPr>
          <w:p>
            <w:r>
              <w:t>Actively engaged</w:t>
            </w:r>
          </w:p>
        </w:tc>
        <w:tc>
          <w:tcPr>
            <w:tcW w:type="dxa" w:w="2556"/>
            <w:vAlign w:val="center"/>
          </w:tcPr>
          <w:p>
            <w:r>
              <w:t>Workshops and action register</w:t>
            </w:r>
          </w:p>
        </w:tc>
      </w:tr>
      <w:tr>
        <w:tc>
          <w:tcPr>
            <w:tcW w:type="dxa" w:w="2556"/>
            <w:vAlign w:val="center"/>
          </w:tcPr>
          <w:p>
            <w:r>
              <w:t>Data/technology</w:t>
            </w:r>
          </w:p>
        </w:tc>
        <w:tc>
          <w:tcPr>
            <w:tcW w:type="dxa" w:w="2556"/>
            <w:vAlign w:val="center"/>
          </w:tcPr>
          <w:p>
            <w:r>
              <w:t>Consulted</w:t>
            </w:r>
          </w:p>
        </w:tc>
        <w:tc>
          <w:tcPr>
            <w:tcW w:type="dxa" w:w="2556"/>
            <w:vAlign w:val="center"/>
          </w:tcPr>
          <w:p>
            <w:r>
              <w:t>Committed</w:t>
            </w:r>
          </w:p>
        </w:tc>
        <w:tc>
          <w:tcPr>
            <w:tcW w:type="dxa" w:w="2556"/>
            <w:vAlign w:val="center"/>
          </w:tcPr>
          <w:p>
            <w:r>
              <w:t>Data contract and release checklist</w:t>
            </w:r>
          </w:p>
        </w:tc>
      </w:tr>
      <w:tr>
        <w:tc>
          <w:tcPr>
            <w:tcW w:type="dxa" w:w="2556"/>
            <w:vAlign w:val="center"/>
          </w:tcPr>
          <w:p>
            <w:r>
              <w:t>Affected teams</w:t>
            </w:r>
          </w:p>
        </w:tc>
        <w:tc>
          <w:tcPr>
            <w:tcW w:type="dxa" w:w="2556"/>
            <w:vAlign w:val="center"/>
          </w:tcPr>
          <w:p>
            <w:r>
              <w:t>Unaware</w:t>
            </w:r>
          </w:p>
        </w:tc>
        <w:tc>
          <w:tcPr>
            <w:tcW w:type="dxa" w:w="2556"/>
            <w:vAlign w:val="center"/>
          </w:tcPr>
          <w:p>
            <w:r>
              <w:t>Informed and heard</w:t>
            </w:r>
          </w:p>
        </w:tc>
        <w:tc>
          <w:tcPr>
            <w:tcW w:type="dxa" w:w="2556"/>
            <w:vAlign w:val="center"/>
          </w:tcPr>
          <w:p>
            <w:r>
              <w:t>Demos, surveys, transition training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