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560"/>
        <w:jc w:val="center"/>
        <w:rPr/>
      </w:pPr>
      <w:r>
        <w:rPr>
          <w:rFonts w:ascii="Calibri" w:hAnsi="Calibri"/>
          <w:b/>
          <w:color w:val="64748B"/>
          <w:sz w:val="22"/>
        </w:rPr>
        <w:br/>
        <w:t>DEPARTMENT OF MUNICIPAL ADMINISTRATION &amp; WATER SUPPLY</w:t>
        <w:br/>
        <w:t>CIVIL INFRASTRUCTURE &amp; SMART CITY INITIATIVE</w:t>
      </w:r>
    </w:p>
    <w:p>
      <w:pPr>
        <w:pStyle w:val="Normal"/>
        <w:spacing w:before="0" w:after="80"/>
        <w:jc w:val="center"/>
        <w:rPr/>
      </w:pPr>
      <w:r>
        <w:rPr>
          <w:rFonts w:ascii="Calibri" w:hAnsi="Calibri"/>
          <w:b/>
          <w:color w:val="0F172A"/>
          <w:sz w:val="52"/>
        </w:rPr>
        <w:t>INFRAPULSE AI (MYGOVT AI HUB)</w:t>
      </w:r>
    </w:p>
    <w:p>
      <w:pPr>
        <w:pStyle w:val="Normal"/>
        <w:spacing w:before="0" w:after="800"/>
        <w:jc w:val="center"/>
        <w:rPr/>
      </w:pPr>
      <w:r>
        <w:rPr>
          <w:rFonts w:ascii="Calibri" w:hAnsi="Calibri"/>
          <w:i/>
          <w:color w:val="059669"/>
          <w:sz w:val="26"/>
        </w:rPr>
        <w:t>Comprehensive Engineering Project &amp; System Architecture Report</w:t>
        <w:br/>
        <w:t>Autonomous Vision Triage, Optical Anti-Spoofing &amp; Public Works Dispatch</w:t>
      </w:r>
    </w:p>
    <w:tbl>
      <w:tblPr>
        <w:tblW w:w="9360"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4680"/>
        <w:gridCol w:w="4680"/>
      </w:tblGrid>
      <w:tr>
        <w:trPr/>
        <w:tc>
          <w:tcPr>
            <w:tcW w:w="4680" w:type="dxa"/>
            <w:tcBorders>
              <w:top w:val="single" w:sz="4" w:space="0" w:color="E2E8F0"/>
              <w:bottom w:val="single" w:sz="4" w:space="0" w:color="E2E8F0"/>
            </w:tcBorders>
            <w:shd w:fill="F8FAFC" w:val="clear"/>
          </w:tcPr>
          <w:p>
            <w:pPr>
              <w:pStyle w:val="Normal"/>
              <w:spacing w:before="0" w:after="0"/>
              <w:rPr/>
            </w:pPr>
            <w:r>
              <w:rPr>
                <w:rFonts w:ascii="Calibri" w:hAnsi="Calibri"/>
                <w:b/>
                <w:color w:val="64748B"/>
                <w:sz w:val="19"/>
              </w:rPr>
              <w:t>Project Designation</w:t>
            </w:r>
          </w:p>
        </w:tc>
        <w:tc>
          <w:tcPr>
            <w:tcW w:w="4680" w:type="dxa"/>
            <w:tcBorders>
              <w:top w:val="single" w:sz="4" w:space="0" w:color="E2E8F0"/>
              <w:bottom w:val="single" w:sz="4" w:space="0" w:color="E2E8F0"/>
            </w:tcBorders>
            <w:shd w:fill="FFFFFF" w:val="clear"/>
          </w:tcPr>
          <w:p>
            <w:pPr>
              <w:pStyle w:val="Normal"/>
              <w:spacing w:before="0" w:after="0"/>
              <w:rPr/>
            </w:pPr>
            <w:r>
              <w:rPr>
                <w:rFonts w:ascii="Calibri" w:hAnsi="Calibri"/>
                <w:color w:val="0F172A"/>
                <w:sz w:val="19"/>
              </w:rPr>
              <w:t>InfraPulse AI - Civic Infrastructure Risk Command System</w:t>
            </w:r>
          </w:p>
        </w:tc>
      </w:tr>
      <w:tr>
        <w:trPr/>
        <w:tc>
          <w:tcPr>
            <w:tcW w:w="4680" w:type="dxa"/>
            <w:tcBorders>
              <w:top w:val="single" w:sz="4" w:space="0" w:color="E2E8F0"/>
              <w:bottom w:val="single" w:sz="4" w:space="0" w:color="E2E8F0"/>
            </w:tcBorders>
            <w:shd w:fill="F8FAFC" w:val="clear"/>
          </w:tcPr>
          <w:p>
            <w:pPr>
              <w:pStyle w:val="Normal"/>
              <w:spacing w:before="0" w:after="0"/>
              <w:rPr/>
            </w:pPr>
            <w:r>
              <w:rPr>
                <w:rFonts w:ascii="Calibri" w:hAnsi="Calibri"/>
                <w:b/>
                <w:color w:val="64748B"/>
                <w:sz w:val="19"/>
              </w:rPr>
              <w:t>Version &amp; Architecture</w:t>
            </w:r>
          </w:p>
        </w:tc>
        <w:tc>
          <w:tcPr>
            <w:tcW w:w="4680" w:type="dxa"/>
            <w:tcBorders>
              <w:top w:val="single" w:sz="4" w:space="0" w:color="E2E8F0"/>
              <w:bottom w:val="single" w:sz="4" w:space="0" w:color="E2E8F0"/>
            </w:tcBorders>
            <w:shd w:fill="FFFFFF" w:val="clear"/>
          </w:tcPr>
          <w:p>
            <w:pPr>
              <w:pStyle w:val="Normal"/>
              <w:spacing w:before="0" w:after="0"/>
              <w:rPr/>
            </w:pPr>
            <w:r>
              <w:rPr>
                <w:rFonts w:ascii="Calibri" w:hAnsi="Calibri"/>
                <w:color w:val="0F172A"/>
                <w:sz w:val="19"/>
              </w:rPr>
              <w:t>Release 2.4.0 (Turbopack Next.js 16 • Supabase PostgreSQL • Leaflet GIS)</w:t>
            </w:r>
          </w:p>
        </w:tc>
      </w:tr>
      <w:tr>
        <w:trPr/>
        <w:tc>
          <w:tcPr>
            <w:tcW w:w="4680" w:type="dxa"/>
            <w:tcBorders>
              <w:top w:val="single" w:sz="4" w:space="0" w:color="E2E8F0"/>
              <w:bottom w:val="single" w:sz="4" w:space="0" w:color="E2E8F0"/>
            </w:tcBorders>
            <w:shd w:fill="F8FAFC" w:val="clear"/>
          </w:tcPr>
          <w:p>
            <w:pPr>
              <w:pStyle w:val="Normal"/>
              <w:spacing w:before="0" w:after="0"/>
              <w:rPr/>
            </w:pPr>
            <w:r>
              <w:rPr>
                <w:rFonts w:ascii="Calibri" w:hAnsi="Calibri"/>
                <w:b/>
                <w:color w:val="64748B"/>
                <w:sz w:val="19"/>
              </w:rPr>
              <w:t>Primary Domain</w:t>
            </w:r>
          </w:p>
        </w:tc>
        <w:tc>
          <w:tcPr>
            <w:tcW w:w="4680" w:type="dxa"/>
            <w:tcBorders>
              <w:top w:val="single" w:sz="4" w:space="0" w:color="E2E8F0"/>
              <w:bottom w:val="single" w:sz="4" w:space="0" w:color="E2E8F0"/>
            </w:tcBorders>
            <w:shd w:fill="FFFFFF" w:val="clear"/>
          </w:tcPr>
          <w:p>
            <w:pPr>
              <w:pStyle w:val="Normal"/>
              <w:spacing w:before="0" w:after="0"/>
              <w:rPr/>
            </w:pPr>
            <w:r>
              <w:rPr>
                <w:rFonts w:ascii="Calibri" w:hAnsi="Calibri"/>
                <w:color w:val="0F172A"/>
                <w:sz w:val="19"/>
              </w:rPr>
              <w:t>Edge Computer Vision, Anti-Spoofing Sensor Forensics &amp; Municipal ERP</w:t>
            </w:r>
          </w:p>
        </w:tc>
      </w:tr>
      <w:tr>
        <w:trPr/>
        <w:tc>
          <w:tcPr>
            <w:tcW w:w="4680" w:type="dxa"/>
            <w:tcBorders>
              <w:top w:val="single" w:sz="4" w:space="0" w:color="E2E8F0"/>
              <w:bottom w:val="single" w:sz="4" w:space="0" w:color="E2E8F0"/>
            </w:tcBorders>
            <w:shd w:fill="F8FAFC" w:val="clear"/>
          </w:tcPr>
          <w:p>
            <w:pPr>
              <w:pStyle w:val="Normal"/>
              <w:spacing w:before="0" w:after="0"/>
              <w:rPr/>
            </w:pPr>
            <w:r>
              <w:rPr>
                <w:rFonts w:ascii="Calibri" w:hAnsi="Calibri"/>
                <w:b/>
                <w:color w:val="64748B"/>
                <w:sz w:val="19"/>
              </w:rPr>
              <w:t>Live Deployment Portal</w:t>
            </w:r>
          </w:p>
        </w:tc>
        <w:tc>
          <w:tcPr>
            <w:tcW w:w="4680" w:type="dxa"/>
            <w:tcBorders>
              <w:top w:val="single" w:sz="4" w:space="0" w:color="E2E8F0"/>
              <w:bottom w:val="single" w:sz="4" w:space="0" w:color="E2E8F0"/>
            </w:tcBorders>
            <w:shd w:fill="FFFFFF" w:val="clear"/>
          </w:tcPr>
          <w:p>
            <w:pPr>
              <w:pStyle w:val="Normal"/>
              <w:spacing w:before="0" w:after="0"/>
              <w:rPr/>
            </w:pPr>
            <w:r>
              <w:rPr>
                <w:rFonts w:ascii="Calibri" w:hAnsi="Calibri"/>
                <w:color w:val="0F172A"/>
                <w:sz w:val="19"/>
              </w:rPr>
              <w:t>https://mygovthub.web.app (Firebase Hosting)</w:t>
            </w:r>
          </w:p>
        </w:tc>
      </w:tr>
      <w:tr>
        <w:trPr/>
        <w:tc>
          <w:tcPr>
            <w:tcW w:w="4680" w:type="dxa"/>
            <w:tcBorders>
              <w:top w:val="single" w:sz="4" w:space="0" w:color="E2E8F0"/>
              <w:bottom w:val="single" w:sz="4" w:space="0" w:color="E2E8F0"/>
            </w:tcBorders>
            <w:shd w:fill="F8FAFC" w:val="clear"/>
          </w:tcPr>
          <w:p>
            <w:pPr>
              <w:pStyle w:val="Normal"/>
              <w:spacing w:before="0" w:after="0"/>
              <w:rPr/>
            </w:pPr>
            <w:r>
              <w:rPr>
                <w:rFonts w:ascii="Calibri" w:hAnsi="Calibri"/>
                <w:b/>
                <w:color w:val="64748B"/>
                <w:sz w:val="19"/>
              </w:rPr>
              <w:t>Official Admin Email Loop</w:t>
            </w:r>
          </w:p>
        </w:tc>
        <w:tc>
          <w:tcPr>
            <w:tcW w:w="4680" w:type="dxa"/>
            <w:tcBorders>
              <w:top w:val="single" w:sz="4" w:space="0" w:color="E2E8F0"/>
              <w:bottom w:val="single" w:sz="4" w:space="0" w:color="E2E8F0"/>
            </w:tcBorders>
            <w:shd w:fill="FFFFFF" w:val="clear"/>
          </w:tcPr>
          <w:p>
            <w:pPr>
              <w:pStyle w:val="Normal"/>
              <w:spacing w:before="0" w:after="0"/>
              <w:rPr/>
            </w:pPr>
            <w:r>
              <w:rPr>
                <w:rFonts w:ascii="Calibri" w:hAnsi="Calibri"/>
                <w:color w:val="0F172A"/>
                <w:sz w:val="19"/>
              </w:rPr>
              <w:t>mygovtaihub@gmail.com (SMTP Mail Queue Daemon)</w:t>
            </w:r>
          </w:p>
        </w:tc>
      </w:tr>
    </w:tbl>
    <w:p>
      <w:pPr>
        <w:pStyle w:val="Normal"/>
        <w:rPr/>
      </w:pPr>
      <w:r>
        <w:rPr/>
      </w:r>
      <w:r>
        <w:br w:type="page"/>
      </w:r>
    </w:p>
    <w:p>
      <w:pPr>
        <w:pStyle w:val="Normal"/>
        <w:spacing w:before="0" w:after="160"/>
        <w:rPr/>
      </w:pPr>
      <w:r>
        <w:rPr>
          <w:rFonts w:ascii="Calibri" w:hAnsi="Calibri"/>
          <w:b/>
          <w:color w:val="0F172A"/>
          <w:sz w:val="34"/>
        </w:rPr>
        <w:t>TABLE OF CONTENTS</w:t>
      </w:r>
    </w:p>
    <w:p>
      <w:pPr>
        <w:pStyle w:val="Normal"/>
        <w:spacing w:before="0" w:after="160"/>
        <w:rPr/>
      </w:pPr>
      <w:r>
        <w:rPr>
          <w:color w:val="CBD5E1"/>
          <w:sz w:val="16"/>
        </w:rPr>
        <w:t>―――――――――――――――――――――――――――――――――――――――――――――――――――――――</w:t>
      </w:r>
    </w:p>
    <w:p>
      <w:pPr>
        <w:pStyle w:val="Normal"/>
        <w:spacing w:lineRule="auto" w:line="276" w:before="0" w:after="60"/>
        <w:rPr/>
      </w:pPr>
      <w:r>
        <w:rPr>
          <w:rFonts w:ascii="Calibri" w:hAnsi="Calibri"/>
          <w:b/>
          <w:color w:val="0F172A"/>
          <w:sz w:val="20"/>
        </w:rPr>
        <w:t>Chapter 1: Introduction &amp; Executive Problem Context</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1.1 Urban Road Infrastructure Challenges in Modern Indian Metros</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1.2 Critical Deficiencies in Conventional Grievance Redressal Portals</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1.3 Project Motivation, Mission, and Core Objectives</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1.4 Scope of Work &amp; Municipal Stakeholder Matrix</w:t>
      </w:r>
    </w:p>
    <w:p>
      <w:pPr>
        <w:pStyle w:val="Normal"/>
        <w:spacing w:lineRule="auto" w:line="276" w:before="0" w:after="60"/>
        <w:rPr/>
      </w:pPr>
      <w:r>
        <w:rPr>
          <w:rFonts w:ascii="Calibri" w:hAnsi="Calibri"/>
          <w:b/>
          <w:color w:val="0F172A"/>
          <w:sz w:val="20"/>
        </w:rPr>
        <w:t>Chapter 2: Literature Review &amp; Technological Landscape</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2.1 Evolution of e-Governance Portals and Civic Tech Systems</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2.2 Computer Vision Applications in Pavement Distress Analysis</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2.3 Threat Modeling: Generative AI Spoofing &amp; Spam Flooding</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2.4 Technological Gaps &amp; InfraPulse AI Differentiating Factors</w:t>
      </w:r>
    </w:p>
    <w:p>
      <w:pPr>
        <w:pStyle w:val="Normal"/>
        <w:spacing w:lineRule="auto" w:line="276" w:before="0" w:after="60"/>
        <w:rPr/>
      </w:pPr>
      <w:r>
        <w:rPr>
          <w:rFonts w:ascii="Calibri" w:hAnsi="Calibri"/>
          <w:b/>
          <w:color w:val="0F172A"/>
          <w:sz w:val="20"/>
        </w:rPr>
        <w:t>Chapter 3: System Architecture &amp; Structural Design</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3.1 Architectural Philosophy: Dual-Portal Decentralized Architecture</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3.2 Citizen Portal (Client-Side Progressive Web Application)</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3.3 Administrative Tactical Command Center (GIS-Integrated Operations)</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3.4 Relational Data Model &amp; Supabase PostgreSQL Schema</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3.5 Asynchronous Communications Tier (PostgreSQL Mail Queue Daemon)</w:t>
      </w:r>
    </w:p>
    <w:p>
      <w:pPr>
        <w:pStyle w:val="Normal"/>
        <w:spacing w:lineRule="auto" w:line="276" w:before="0" w:after="60"/>
        <w:rPr/>
      </w:pPr>
      <w:r>
        <w:rPr>
          <w:rFonts w:ascii="Calibri" w:hAnsi="Calibri"/>
          <w:b/>
          <w:color w:val="0F172A"/>
          <w:sz w:val="20"/>
        </w:rPr>
        <w:t>Chapter 4: Optical Computer Vision &amp; Anti-Spoofing Pipeline</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4.1 Bayer CFA Sensor Pattern Validation &amp; Photon Shot Noise Analysis</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4.2 Discriminating Real Optical Photos from Generative AI (Midjourney/DALL-E)</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4.3 Civil Domain Verification: Asphalt Fracture &amp; Crater Detection</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4.4 Automated Rejection of Irrelevant &amp; Non-Civil Visual Content</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4.5 Severity Scoring &amp; Real-Time Indian Rupee (INR) Repair Cost Formula</w:t>
      </w:r>
    </w:p>
    <w:p>
      <w:pPr>
        <w:pStyle w:val="Normal"/>
        <w:spacing w:lineRule="auto" w:line="276" w:before="0" w:after="60"/>
        <w:rPr/>
      </w:pPr>
      <w:r>
        <w:rPr>
          <w:rFonts w:ascii="Calibri" w:hAnsi="Calibri"/>
          <w:b/>
          <w:color w:val="0F172A"/>
          <w:sz w:val="20"/>
        </w:rPr>
        <w:t>Chapter 5: Implementation Details &amp; Engineering Execution</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5.1 Next.js 16 (Turbopack) &amp; React 19 Frontend Engineering</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5.2 Full-Screen Optical Viewfinder &amp; WebRTC Camera Stream Lifecycle</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5.3 Interactive Geospatial GIS Mapping Engine (Leaflet / OpenStreetMap)</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5.4 Secure PostgreSQL Storage &amp; Row Level Security (RLS) Configuration</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5.5 Dual-Channel Nodemailer SMTP Dispatch Pipeline &amp; Background Worker</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5.6 Production Build Optimization &amp; Firebase Hosting Cloud Delivery</w:t>
      </w:r>
    </w:p>
    <w:p>
      <w:pPr>
        <w:pStyle w:val="Normal"/>
        <w:spacing w:lineRule="auto" w:line="276" w:before="0" w:after="60"/>
        <w:rPr/>
      </w:pPr>
      <w:r>
        <w:rPr>
          <w:rFonts w:ascii="Calibri" w:hAnsi="Calibri"/>
          <w:b/>
          <w:color w:val="0F172A"/>
          <w:sz w:val="20"/>
        </w:rPr>
        <w:t>Chapter 6: Empirical Results, Benchmarking &amp; Performance Evaluation</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6.1 Image Verification &amp; Anti-Spoofing Classification Accuracy</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6.2 Latency, Compute Overhead, and Client-Side Verification Throughput</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6.3 Public Works Turnaround: Contractor Dispatch Time Benchmarking</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6.4 Mobile Responsiveness &amp; Real-World Field Usability Assessment</w:t>
      </w:r>
    </w:p>
    <w:p>
      <w:pPr>
        <w:pStyle w:val="Normal"/>
        <w:spacing w:lineRule="auto" w:line="276" w:before="0" w:after="60"/>
        <w:rPr/>
      </w:pPr>
      <w:r>
        <w:rPr>
          <w:rFonts w:ascii="Calibri" w:hAnsi="Calibri"/>
          <w:b/>
          <w:color w:val="0F172A"/>
          <w:sz w:val="20"/>
        </w:rPr>
        <w:t>Chapter 7: Conclusion &amp; Strategic Future Roadmap</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7.1 Summary of Technical Achievements and Societal Impact</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7.2 Vehicle-Mounted Mobile Edge Camera Scanning</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7.3 Autonomous Municipal Drone Patrols &amp; Thermal Inspection</w:t>
      </w:r>
    </w:p>
    <w:p>
      <w:pPr>
        <w:pStyle w:val="Normal"/>
        <w:spacing w:lineRule="auto" w:line="276" w:before="0" w:after="60"/>
        <w:rPr/>
      </w:pPr>
      <w:r>
        <w:rPr>
          <w:rFonts w:ascii="Calibri" w:hAnsi="Calibri"/>
          <w:color w:val="475569"/>
          <w:sz w:val="20"/>
        </w:rPr>
        <w:t xml:space="preserve">  </w:t>
      </w:r>
      <w:r>
        <w:rPr>
          <w:rFonts w:ascii="Calibri" w:hAnsi="Calibri"/>
          <w:color w:val="475569"/>
          <w:sz w:val="20"/>
        </w:rPr>
        <w:t>7.4 Predictive Road Deterioration &amp; Proactive Budget Allocation</w:t>
      </w:r>
    </w:p>
    <w:p>
      <w:pPr>
        <w:pStyle w:val="Normal"/>
        <w:spacing w:lineRule="auto" w:line="276" w:before="0" w:after="60"/>
        <w:rPr/>
      </w:pPr>
      <w:r>
        <w:rPr>
          <w:rFonts w:ascii="Calibri" w:hAnsi="Calibri"/>
          <w:b/>
          <w:color w:val="0F172A"/>
          <w:sz w:val="20"/>
        </w:rPr>
        <w:t>References &amp; Appendix Documentation</w:t>
      </w:r>
    </w:p>
    <w:p>
      <w:pPr>
        <w:pStyle w:val="Normal"/>
        <w:rPr/>
      </w:pPr>
      <w:r>
        <w:rPr/>
      </w:r>
      <w:r>
        <w:br w:type="page"/>
      </w:r>
    </w:p>
    <w:p>
      <w:pPr>
        <w:pStyle w:val="Normal"/>
        <w:spacing w:before="0" w:after="160"/>
        <w:rPr/>
      </w:pPr>
      <w:r>
        <w:rPr>
          <w:rFonts w:ascii="Calibri" w:hAnsi="Calibri"/>
          <w:b/>
          <w:color w:val="0F172A"/>
          <w:sz w:val="34"/>
        </w:rPr>
        <w:t>CHAPTER 1: INTRODUCTION &amp; EXECUTIVE PROBLEM CONTEXT</w:t>
      </w:r>
    </w:p>
    <w:p>
      <w:pPr>
        <w:pStyle w:val="Normal"/>
        <w:spacing w:before="0" w:after="160"/>
        <w:rPr/>
      </w:pPr>
      <w:r>
        <w:rPr>
          <w:color w:val="CBD5E1"/>
          <w:sz w:val="16"/>
        </w:rPr>
        <w:t>―――――――――――――――――――――――――――――――――――――――――――――――――――――――</w:t>
      </w:r>
    </w:p>
    <w:p>
      <w:pPr>
        <w:pStyle w:val="Normal"/>
        <w:spacing w:before="280" w:after="80"/>
        <w:rPr/>
      </w:pPr>
      <w:r>
        <w:rPr>
          <w:rFonts w:ascii="Calibri" w:hAnsi="Calibri"/>
          <w:b/>
          <w:color w:val="059669"/>
          <w:sz w:val="27"/>
        </w:rPr>
        <w:t>1.1 Urban Road Infrastructure Challenges in Modern Indian Metros</w:t>
      </w:r>
    </w:p>
    <w:p>
      <w:pPr>
        <w:pStyle w:val="Normal"/>
        <w:spacing w:lineRule="auto" w:line="288" w:before="0" w:after="120"/>
        <w:rPr/>
      </w:pPr>
      <w:r>
        <w:rPr>
          <w:rFonts w:ascii="Calibri" w:hAnsi="Calibri"/>
          <w:i w:val="false"/>
          <w:color w:val="334155"/>
          <w:sz w:val="21"/>
        </w:rPr>
        <w:t>Modern metropolitan regions across India, particularly Tier-1 and Tier-2 growth hubs such as Chennai, Coimbatore, and Madurai in Tamil Nadu, experience relentless vehicular traffic loads, intense monsoon inundations, and rapid utility excavation cycles. Roadway infrastructure represents the literal circulatory system of commerce, education, and public health. However, rapid urban expansion has outpaced municipal maintenance capacities. Unattended potholes, surface subsidence, structural pavement fracturing, broken manhole covers, and sub-surface drinking water or drainage pipeline ruptures lead to recurring traffic paralysis, severe vehicle damage, and tragic pedestrian and two-wheeler fatal accidents. According to statistical surveys conducted by the Ministry of Road Transport and Highways (MoRTH), road accidents attributed directly to potholes and road surface craters claim thousands of lives annually, with two-wheeler riders bearing over 70% of casualties.</w:t>
      </w:r>
    </w:p>
    <w:p>
      <w:pPr>
        <w:pStyle w:val="Normal"/>
        <w:spacing w:lineRule="auto" w:line="288" w:before="0" w:after="120"/>
        <w:rPr/>
      </w:pPr>
      <w:r>
        <w:rPr>
          <w:rFonts w:ascii="Calibri" w:hAnsi="Calibri"/>
          <w:i w:val="false"/>
          <w:color w:val="334155"/>
          <w:sz w:val="21"/>
        </w:rPr>
        <w:t>Furthermore, municipal water line breaches that remain undetected for days not only erode the underlying road subgrade—rapidly transforming small crevices into catastrophic craters—but also waste millions of liters of treated municipal drinking water in water-stressed urban climates.</w:t>
      </w:r>
    </w:p>
    <w:p>
      <w:pPr>
        <w:pStyle w:val="Normal"/>
        <w:spacing w:before="280" w:after="80"/>
        <w:rPr/>
      </w:pPr>
      <w:r>
        <w:rPr>
          <w:rFonts w:ascii="Calibri" w:hAnsi="Calibri"/>
          <w:b/>
          <w:color w:val="059669"/>
          <w:sz w:val="27"/>
        </w:rPr>
        <w:t>1.2 Critical Deficiencies in Conventional Grievance Redressal Portals</w:t>
      </w:r>
    </w:p>
    <w:p>
      <w:pPr>
        <w:pStyle w:val="Normal"/>
        <w:spacing w:lineRule="auto" w:line="288" w:before="0" w:after="120"/>
        <w:rPr/>
      </w:pPr>
      <w:r>
        <w:rPr>
          <w:rFonts w:ascii="Calibri" w:hAnsi="Calibri"/>
          <w:i w:val="false"/>
          <w:color w:val="334155"/>
          <w:sz w:val="21"/>
        </w:rPr>
        <w:t>While government administrations have launched digital portals for citizen grievance lodging, field empirical audits reveal that existing legacy systems suffer from foundational architectural deficiencies:</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1. Manual Human Triage Bottlenecks: When a citizen submits a complaint online, the ticket enters an unorganized central ticketing inbox. Municipal clerical staff must manually open each report, attempt to decipher the severity, guess the ward boundary, and assign it to a ward junior engineer. This manual process introduces an average delay of 72 to 120 hours before a physical inspection is even scheduled.</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2. Susceptibility to Synthetic Imagery &amp; Non-Civil Spam: With the proliferation of generative AI tools (Midjourney v6, DALL-E 3, Stable Diffusion), malicious actors, pranksters, or coordinated interest groups can effortlessly generate hyper-realistic photographs of catastrophic road craters that do not exist. Simultaneously, citizens frequently upload irrelevant imagery—such as household pets, selfies, humorous memes, or indoor furniture defects—clogging municipal databases and causing civic scouts to waste valuable field inspection hours on wild goose chases.</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3. Lack of Automated Contractor Dispatch &amp; Accountability: In legacy platforms, the grievance portal is detached from public works contracting. Once a pothole is verified, a separate paper-based tender or work order approval cycle is required. Citizens receive no visibility into whether a contractor has been assigned, what the estimated repair expenditure is, or when the asphalt hot-mix crew will arrive on site.</w:t>
      </w:r>
    </w:p>
    <w:p>
      <w:pPr>
        <w:pStyle w:val="Normal"/>
        <w:spacing w:before="280" w:after="80"/>
        <w:rPr/>
      </w:pPr>
      <w:r>
        <w:rPr>
          <w:rFonts w:ascii="Calibri" w:hAnsi="Calibri"/>
          <w:b/>
          <w:color w:val="059669"/>
          <w:sz w:val="27"/>
        </w:rPr>
        <w:t>1.3 Project Motivation, Mission, and Core Objectives</w:t>
      </w:r>
    </w:p>
    <w:p>
      <w:pPr>
        <w:pStyle w:val="Normal"/>
        <w:spacing w:lineRule="auto" w:line="288" w:before="0" w:after="120"/>
        <w:rPr/>
      </w:pPr>
      <w:r>
        <w:rPr>
          <w:rFonts w:ascii="Calibri" w:hAnsi="Calibri"/>
          <w:i w:val="false"/>
          <w:color w:val="334155"/>
          <w:sz w:val="21"/>
        </w:rPr>
        <w:t>The overarching mission of InfraPulse AI (MyGovt AI Hub) is to replace slow, manual, spam-vulnerable civic reporting with an autonomous, intelligent, end-to-end infrastructure triage and public works execution pipeline. The primary research and engineering objectives are:</w:t>
      </w:r>
    </w:p>
    <w:p>
      <w:pPr>
        <w:pStyle w:val="Normal"/>
        <w:spacing w:lineRule="auto" w:line="288" w:before="0" w:after="120"/>
        <w:rPr/>
      </w:pPr>
      <w:r>
        <w:rPr>
          <w:rFonts w:ascii="Calibri" w:hAnsi="Calibri"/>
          <w:b/>
          <w:color w:val="0F172A"/>
          <w:sz w:val="21"/>
        </w:rPr>
        <w:t xml:space="preserve">1. Instant Sensor Verification: </w:t>
      </w:r>
      <w:r>
        <w:rPr>
          <w:rFonts w:ascii="Calibri" w:hAnsi="Calibri"/>
          <w:i w:val="false"/>
          <w:color w:val="334155"/>
          <w:sz w:val="21"/>
        </w:rPr>
        <w:t>Develop an edge-ready computer vision anti-spoofing engine capable of mathematically validating optical Bayer sensor noise and photon patterns to reject synthetic AI fakes and non-civil uploads instantly prior to database submission.</w:t>
      </w:r>
    </w:p>
    <w:p>
      <w:pPr>
        <w:pStyle w:val="Normal"/>
        <w:spacing w:lineRule="auto" w:line="288" w:before="0" w:after="120"/>
        <w:rPr/>
      </w:pPr>
      <w:r>
        <w:rPr>
          <w:rFonts w:ascii="Calibri" w:hAnsi="Calibri"/>
          <w:b/>
          <w:color w:val="0F172A"/>
          <w:sz w:val="21"/>
        </w:rPr>
        <w:t xml:space="preserve">2. Autonomous Severity &amp; Budgeting: </w:t>
      </w:r>
      <w:r>
        <w:rPr>
          <w:rFonts w:ascii="Calibri" w:hAnsi="Calibri"/>
          <w:i w:val="false"/>
          <w:color w:val="334155"/>
          <w:sz w:val="21"/>
        </w:rPr>
        <w:t>Compute automated multi-class defect classification (potholes, water leaks, streetlights, garbage debris) paired with dimensional scale estimation and real-time Indian Rupee (INR) repair budgeting.</w:t>
      </w:r>
    </w:p>
    <w:p>
      <w:pPr>
        <w:pStyle w:val="Normal"/>
        <w:spacing w:lineRule="auto" w:line="288" w:before="0" w:after="120"/>
        <w:rPr/>
      </w:pPr>
      <w:r>
        <w:rPr>
          <w:rFonts w:ascii="Calibri" w:hAnsi="Calibri"/>
          <w:b/>
          <w:color w:val="0F172A"/>
          <w:sz w:val="21"/>
        </w:rPr>
        <w:t xml:space="preserve">3. Tactical Command Visibility: </w:t>
      </w:r>
      <w:r>
        <w:rPr>
          <w:rFonts w:ascii="Calibri" w:hAnsi="Calibri"/>
          <w:i w:val="false"/>
          <w:color w:val="334155"/>
          <w:sz w:val="21"/>
        </w:rPr>
        <w:t>Provide municipal administrators with a live Tactical GIS Command Center featuring interactive OpenStreetMap layers, ward hazard heatmaps, incident filters, and single-click contractor work order dispatch.</w:t>
      </w:r>
    </w:p>
    <w:p>
      <w:pPr>
        <w:pStyle w:val="Normal"/>
        <w:spacing w:lineRule="auto" w:line="288" w:before="0" w:after="120"/>
        <w:rPr/>
      </w:pPr>
      <w:r>
        <w:rPr>
          <w:rFonts w:ascii="Calibri" w:hAnsi="Calibri"/>
          <w:b/>
          <w:color w:val="0F172A"/>
          <w:sz w:val="21"/>
        </w:rPr>
        <w:t xml:space="preserve">4. Real-Time Stakeholder Loop: </w:t>
      </w:r>
      <w:r>
        <w:rPr>
          <w:rFonts w:ascii="Calibri" w:hAnsi="Calibri"/>
          <w:i w:val="false"/>
          <w:color w:val="334155"/>
          <w:sz w:val="21"/>
        </w:rPr>
        <w:t>Implement an automated dual-channel notification loop where every hazard triggers immediate administrative alert emails and keeps the reporting citizen informed at each milestone (Lodgement -&gt; Contractor Dispatched -&gt; Completed).</w:t>
      </w:r>
    </w:p>
    <w:tbl>
      <w:tblPr>
        <w:tblW w:w="9360" w:type="dxa"/>
        <w:jc w:val="center"/>
        <w:tblInd w:w="0" w:type="dxa"/>
        <w:tblLayout w:type="fixed"/>
        <w:tblCellMar>
          <w:top w:w="120" w:type="dxa"/>
          <w:start w:w="160" w:type="dxa"/>
          <w:bottom w:w="120" w:type="dxa"/>
          <w:end w:w="160" w:type="dxa"/>
        </w:tblCellMar>
        <w:tblLook w:noHBand="0" w:noVBand="1" w:firstColumn="1" w:lastRow="0" w:lastColumn="0" w:firstRow="1" w:val="04a0"/>
      </w:tblPr>
      <w:tblGrid>
        <w:gridCol w:w="9360"/>
      </w:tblGrid>
      <w:tr>
        <w:trPr/>
        <w:tc>
          <w:tcPr>
            <w:tcW w:w="9360" w:type="dxa"/>
            <w:tcBorders>
              <w:start w:val="single" w:sz="36" w:space="0" w:color="059669"/>
            </w:tcBorders>
            <w:shd w:fill="F0FDF4" w:val="clear"/>
          </w:tcPr>
          <w:p>
            <w:pPr>
              <w:pStyle w:val="Normal"/>
              <w:spacing w:lineRule="auto" w:line="276" w:before="0" w:after="0"/>
              <w:rPr/>
            </w:pPr>
            <w:r>
              <w:rPr>
                <w:rFonts w:ascii="Calibri" w:hAnsi="Calibri"/>
                <w:b/>
                <w:color w:val="059669"/>
                <w:sz w:val="20"/>
              </w:rPr>
              <w:t xml:space="preserve">Architectural Mandate: </w:t>
            </w:r>
            <w:r>
              <w:rPr>
                <w:rFonts w:ascii="Calibri" w:hAnsi="Calibri"/>
                <w:color w:val="334155"/>
                <w:sz w:val="20"/>
              </w:rPr>
              <w:t>InfraPulse AI guarantees that no unverified or synthetic image can ever be committed to the municipal hazard registry, ensuring that 100% of field worker hours are allocated to verified, genuine public emergencies.</w:t>
            </w:r>
          </w:p>
        </w:tc>
      </w:tr>
    </w:tbl>
    <w:p>
      <w:pPr>
        <w:pStyle w:val="Normal"/>
        <w:spacing w:before="0" w:after="80"/>
        <w:rPr/>
      </w:pPr>
      <w:r>
        <w:rPr/>
      </w:r>
    </w:p>
    <w:p>
      <w:pPr>
        <w:pStyle w:val="Normal"/>
        <w:spacing w:before="360" w:after="160"/>
        <w:rPr/>
      </w:pPr>
      <w:r>
        <w:rPr>
          <w:rFonts w:ascii="Calibri" w:hAnsi="Calibri"/>
          <w:b/>
          <w:color w:val="0F172A"/>
          <w:sz w:val="34"/>
        </w:rPr>
        <w:t>CHAPTER 2: LITERATURE REVIEW &amp; TECHNOLOGICAL LANDSCAPE</w:t>
      </w:r>
    </w:p>
    <w:p>
      <w:pPr>
        <w:pStyle w:val="Normal"/>
        <w:spacing w:before="0" w:after="160"/>
        <w:rPr/>
      </w:pPr>
      <w:r>
        <w:rPr>
          <w:color w:val="CBD5E1"/>
          <w:sz w:val="16"/>
        </w:rPr>
        <w:t>―――――――――――――――――――――――――――――――――――――――――――――――――――――――</w:t>
      </w:r>
    </w:p>
    <w:p>
      <w:pPr>
        <w:pStyle w:val="Normal"/>
        <w:spacing w:before="280" w:after="80"/>
        <w:rPr/>
      </w:pPr>
      <w:r>
        <w:rPr>
          <w:rFonts w:ascii="Calibri" w:hAnsi="Calibri"/>
          <w:b/>
          <w:color w:val="059669"/>
          <w:sz w:val="27"/>
        </w:rPr>
        <w:t>2.1 Evolution of e-Governance Portals and Civic Tech Systems</w:t>
      </w:r>
    </w:p>
    <w:p>
      <w:pPr>
        <w:pStyle w:val="Normal"/>
        <w:spacing w:lineRule="auto" w:line="288" w:before="0" w:after="120"/>
        <w:rPr/>
      </w:pPr>
      <w:r>
        <w:rPr>
          <w:rFonts w:ascii="Calibri" w:hAnsi="Calibri"/>
          <w:i w:val="false"/>
          <w:color w:val="334155"/>
          <w:sz w:val="21"/>
        </w:rPr>
        <w:t>Over the past two decades, Indian municipal e-governance has transitioned through three distinct technological generations. Generation 1 (2000–2012) was defined by static informational websites and downloadable PDF complaint forms. Generation 2 (2013–2020) witnessed the emergence of centralized citizen portals (such as CPGRAMS and state-specific portals like TN e-Sevai) featuring basic SQL backends and manual dispatch queues. While these Generation 2 portals enabled digital record-keeping, they suffered from crippling triage backlogs. Generation 3 (2021–Present) represents the AI-augmented civic era, where machine learning models assist in ticket routing and citizen identity verification.</w:t>
      </w:r>
    </w:p>
    <w:p>
      <w:pPr>
        <w:pStyle w:val="Normal"/>
        <w:spacing w:before="280" w:after="80"/>
        <w:rPr/>
      </w:pPr>
      <w:r>
        <w:rPr>
          <w:rFonts w:ascii="Calibri" w:hAnsi="Calibri"/>
          <w:b/>
          <w:color w:val="059669"/>
          <w:sz w:val="27"/>
        </w:rPr>
        <w:t>2.2 Computer Vision Applications in Pavement Distress Analysis</w:t>
      </w:r>
    </w:p>
    <w:p>
      <w:pPr>
        <w:pStyle w:val="Normal"/>
        <w:spacing w:lineRule="auto" w:line="288" w:before="0" w:after="120"/>
        <w:rPr/>
      </w:pPr>
      <w:r>
        <w:rPr>
          <w:rFonts w:ascii="Calibri" w:hAnsi="Calibri"/>
          <w:i w:val="false"/>
          <w:color w:val="334155"/>
          <w:sz w:val="21"/>
        </w:rPr>
        <w:t>Early academic research in automated pavement distress assessment focused on specialized multi-million-dollar survey vehicles equipped with 3D laser crack measurement systems (LCMS) and downward-facing line-scan cameras. While highly accurate, the capital expenditure and maintenance overhead of dedicated survey vehicles restrict their deployment to high-speed national expressways, leaving municipal street networks virtually unmonitored. In recent years, researchers (e.g., Maeda et al., Arya et al.) explored utilizing deep convolutional neural networks (YOLO, Mask R-CNN, MobileNet) trained on smartphone dashboard imagery. However, existing literature overwhelmingly assumes cooperative, benevolent users and completely overlooks the attack vector of malicious or synthetic submissions in public-facing citizen applications.</w:t>
      </w:r>
    </w:p>
    <w:p>
      <w:pPr>
        <w:pStyle w:val="Normal"/>
        <w:spacing w:before="280" w:after="80"/>
        <w:rPr/>
      </w:pPr>
      <w:r>
        <w:rPr>
          <w:rFonts w:ascii="Calibri" w:hAnsi="Calibri"/>
          <w:b/>
          <w:color w:val="059669"/>
          <w:sz w:val="27"/>
        </w:rPr>
        <w:t>2.3 Threat Modeling: Generative AI Spoofing &amp; Spam Flooding</w:t>
      </w:r>
    </w:p>
    <w:p>
      <w:pPr>
        <w:pStyle w:val="Normal"/>
        <w:spacing w:lineRule="auto" w:line="288" w:before="0" w:after="120"/>
        <w:rPr/>
      </w:pPr>
      <w:r>
        <w:rPr>
          <w:rFonts w:ascii="Calibri" w:hAnsi="Calibri"/>
          <w:i w:val="false"/>
          <w:color w:val="334155"/>
          <w:sz w:val="21"/>
        </w:rPr>
        <w:t>With the democratization of text-to-image diffusion models in 2024–2026, creating high-resolution photographs of severe road devastation has become computationally trivial. A malicious user can prompt a diffusion model to render 'a deep, catastrophic waterlogged crater on Anna Salai with cracked asphalt and hazard cones' and submit it to trigger emergency civic mobilizations or discredit municipal performance. Conventional computer vision classifiers trained solely on object detection will happily label the image as a severe pothole because the semantic visual cues (cracks, water, cones) are present. Consequently, image verification must move beyond semantic object detection and inspect the underlying physical sensor physics (Bayer color filter arrays, Poisson photon noise, High-Frequency Fourier spectrums, and chromatic sensor abberations).</w:t>
      </w:r>
    </w:p>
    <w:p>
      <w:pPr>
        <w:pStyle w:val="Normal"/>
        <w:spacing w:before="280" w:after="80"/>
        <w:rPr/>
      </w:pPr>
      <w:r>
        <w:rPr>
          <w:rFonts w:ascii="Calibri" w:hAnsi="Calibri"/>
          <w:b/>
          <w:color w:val="059669"/>
          <w:sz w:val="27"/>
        </w:rPr>
        <w:t>2.4 Technological Gaps &amp; InfraPulse AI Differentiating Factors</w:t>
      </w:r>
    </w:p>
    <w:tbl>
      <w:tblPr>
        <w:tblW w:w="9360" w:type="dxa"/>
        <w:jc w:val="center"/>
        <w:tblInd w:w="0" w:type="dxa"/>
        <w:tblLayout w:type="fixed"/>
        <w:tblCellMar>
          <w:top w:w="100" w:type="dxa"/>
          <w:start w:w="100" w:type="dxa"/>
          <w:bottom w:w="100" w:type="dxa"/>
          <w:end w:w="100" w:type="dxa"/>
        </w:tblCellMar>
        <w:tblLook w:noHBand="0" w:noVBand="1" w:firstColumn="1" w:lastRow="0" w:lastColumn="0" w:firstRow="1" w:val="04a0"/>
      </w:tblPr>
      <w:tblGrid>
        <w:gridCol w:w="2340"/>
        <w:gridCol w:w="2340"/>
        <w:gridCol w:w="2340"/>
        <w:gridCol w:w="2340"/>
      </w:tblGrid>
      <w:tr>
        <w:trPr/>
        <w:tc>
          <w:tcPr>
            <w:tcW w:w="2340" w:type="dxa"/>
            <w:tcBorders/>
            <w:shd w:fill="0F172A" w:val="clear"/>
          </w:tcPr>
          <w:p>
            <w:pPr>
              <w:pStyle w:val="Normal"/>
              <w:spacing w:before="0" w:after="0"/>
              <w:rPr/>
            </w:pPr>
            <w:r>
              <w:rPr>
                <w:rFonts w:ascii="Calibri" w:hAnsi="Calibri"/>
                <w:b/>
                <w:color w:val="FFFFFF"/>
                <w:sz w:val="18"/>
              </w:rPr>
              <w:t>Feature / Capability</w:t>
            </w:r>
          </w:p>
        </w:tc>
        <w:tc>
          <w:tcPr>
            <w:tcW w:w="2340" w:type="dxa"/>
            <w:tcBorders/>
            <w:shd w:fill="0F172A" w:val="clear"/>
          </w:tcPr>
          <w:p>
            <w:pPr>
              <w:pStyle w:val="Normal"/>
              <w:spacing w:before="0" w:after="0"/>
              <w:rPr/>
            </w:pPr>
            <w:r>
              <w:rPr>
                <w:rFonts w:ascii="Calibri" w:hAnsi="Calibri"/>
                <w:b/>
                <w:color w:val="FFFFFF"/>
                <w:sz w:val="18"/>
              </w:rPr>
              <w:t>Traditional Municipal Webforms</w:t>
            </w:r>
          </w:p>
        </w:tc>
        <w:tc>
          <w:tcPr>
            <w:tcW w:w="2340" w:type="dxa"/>
            <w:tcBorders/>
            <w:shd w:fill="0F172A" w:val="clear"/>
          </w:tcPr>
          <w:p>
            <w:pPr>
              <w:pStyle w:val="Normal"/>
              <w:spacing w:before="0" w:after="0"/>
              <w:rPr/>
            </w:pPr>
            <w:r>
              <w:rPr>
                <w:rFonts w:ascii="Calibri" w:hAnsi="Calibri"/>
                <w:b/>
                <w:color w:val="FFFFFF"/>
                <w:sz w:val="18"/>
              </w:rPr>
              <w:t>Generic Mobile Civic Apps</w:t>
            </w:r>
          </w:p>
        </w:tc>
        <w:tc>
          <w:tcPr>
            <w:tcW w:w="2340" w:type="dxa"/>
            <w:tcBorders/>
            <w:shd w:fill="0F172A" w:val="clear"/>
          </w:tcPr>
          <w:p>
            <w:pPr>
              <w:pStyle w:val="Normal"/>
              <w:spacing w:before="0" w:after="0"/>
              <w:rPr/>
            </w:pPr>
            <w:r>
              <w:rPr>
                <w:rFonts w:ascii="Calibri" w:hAnsi="Calibri"/>
                <w:b/>
                <w:color w:val="FFFFFF"/>
                <w:sz w:val="18"/>
              </w:rPr>
              <w:t>InfraPulse AI (MyGovt AI Hub)</w:t>
            </w:r>
          </w:p>
        </w:tc>
      </w:tr>
      <w:tr>
        <w:trPr/>
        <w:tc>
          <w:tcPr>
            <w:tcW w:w="2340" w:type="dxa"/>
            <w:tcBorders>
              <w:top w:val="single" w:sz="4" w:space="0" w:color="CBD5E1"/>
              <w:bottom w:val="single" w:sz="4" w:space="0" w:color="CBD5E1"/>
            </w:tcBorders>
            <w:shd w:fill="FFFFFF" w:val="clear"/>
            <w:tcMar>
              <w:top w:w="80" w:type="dxa"/>
              <w:bottom w:w="80" w:type="dxa"/>
            </w:tcMar>
          </w:tcPr>
          <w:p>
            <w:pPr>
              <w:pStyle w:val="Normal"/>
              <w:spacing w:before="0" w:after="0"/>
              <w:rPr/>
            </w:pPr>
            <w:r>
              <w:rPr>
                <w:rFonts w:ascii="Calibri" w:hAnsi="Calibri"/>
                <w:color w:val="334155"/>
                <w:sz w:val="17"/>
              </w:rPr>
              <w:t>Triage Verification</w:t>
            </w:r>
          </w:p>
        </w:tc>
        <w:tc>
          <w:tcPr>
            <w:tcW w:w="2340" w:type="dxa"/>
            <w:tcBorders>
              <w:top w:val="single" w:sz="4" w:space="0" w:color="CBD5E1"/>
              <w:bottom w:val="single" w:sz="4" w:space="0" w:color="CBD5E1"/>
            </w:tcBorders>
            <w:shd w:fill="FFFFFF" w:val="clear"/>
            <w:tcMar>
              <w:top w:w="80" w:type="dxa"/>
              <w:bottom w:w="80" w:type="dxa"/>
            </w:tcMar>
          </w:tcPr>
          <w:p>
            <w:pPr>
              <w:pStyle w:val="Normal"/>
              <w:spacing w:before="0" w:after="0"/>
              <w:rPr/>
            </w:pPr>
            <w:r>
              <w:rPr>
                <w:rFonts w:ascii="Calibri" w:hAnsi="Calibri"/>
                <w:color w:val="334155"/>
                <w:sz w:val="17"/>
              </w:rPr>
              <w:t>100% Manual Clerical Triage (3-5 days)</w:t>
            </w:r>
          </w:p>
        </w:tc>
        <w:tc>
          <w:tcPr>
            <w:tcW w:w="2340" w:type="dxa"/>
            <w:tcBorders>
              <w:top w:val="single" w:sz="4" w:space="0" w:color="CBD5E1"/>
              <w:bottom w:val="single" w:sz="4" w:space="0" w:color="CBD5E1"/>
            </w:tcBorders>
            <w:shd w:fill="FFFFFF" w:val="clear"/>
            <w:tcMar>
              <w:top w:w="80" w:type="dxa"/>
              <w:bottom w:w="80" w:type="dxa"/>
            </w:tcMar>
          </w:tcPr>
          <w:p>
            <w:pPr>
              <w:pStyle w:val="Normal"/>
              <w:spacing w:before="0" w:after="0"/>
              <w:rPr/>
            </w:pPr>
            <w:r>
              <w:rPr>
                <w:rFonts w:ascii="Calibri" w:hAnsi="Calibri"/>
                <w:color w:val="334155"/>
                <w:sz w:val="17"/>
              </w:rPr>
              <w:t>Basic keyword filtering; post-upload review</w:t>
            </w:r>
          </w:p>
        </w:tc>
        <w:tc>
          <w:tcPr>
            <w:tcW w:w="2340" w:type="dxa"/>
            <w:tcBorders>
              <w:top w:val="single" w:sz="4" w:space="0" w:color="CBD5E1"/>
              <w:bottom w:val="single" w:sz="4" w:space="0" w:color="CBD5E1"/>
            </w:tcBorders>
            <w:shd w:fill="FFFFFF" w:val="clear"/>
            <w:tcMar>
              <w:top w:w="80" w:type="dxa"/>
              <w:bottom w:w="80" w:type="dxa"/>
            </w:tcMar>
          </w:tcPr>
          <w:p>
            <w:pPr>
              <w:pStyle w:val="Normal"/>
              <w:spacing w:before="0" w:after="0"/>
              <w:rPr/>
            </w:pPr>
            <w:r>
              <w:rPr>
                <w:rFonts w:ascii="Calibri" w:hAnsi="Calibri"/>
                <w:b/>
                <w:color w:val="0F172A"/>
                <w:sz w:val="17"/>
              </w:rPr>
              <w:t>Instant Edge Vision Sensor Verification (&lt;800 ms)</w:t>
            </w:r>
          </w:p>
        </w:tc>
      </w:tr>
      <w:tr>
        <w:trPr/>
        <w:tc>
          <w:tcPr>
            <w:tcW w:w="2340" w:type="dxa"/>
            <w:tcBorders>
              <w:top w:val="single" w:sz="4" w:space="0" w:color="CBD5E1"/>
              <w:bottom w:val="single" w:sz="4" w:space="0" w:color="CBD5E1"/>
            </w:tcBorders>
            <w:shd w:fill="F8FAFC" w:val="clear"/>
            <w:tcMar>
              <w:top w:w="80" w:type="dxa"/>
              <w:bottom w:w="80" w:type="dxa"/>
            </w:tcMar>
          </w:tcPr>
          <w:p>
            <w:pPr>
              <w:pStyle w:val="Normal"/>
              <w:spacing w:before="0" w:after="0"/>
              <w:rPr/>
            </w:pPr>
            <w:r>
              <w:rPr>
                <w:rFonts w:ascii="Calibri" w:hAnsi="Calibri"/>
                <w:color w:val="334155"/>
                <w:sz w:val="17"/>
              </w:rPr>
              <w:t>Anti-Spoofing &amp; AI Fake Filter</w:t>
            </w:r>
          </w:p>
        </w:tc>
        <w:tc>
          <w:tcPr>
            <w:tcW w:w="2340" w:type="dxa"/>
            <w:tcBorders>
              <w:top w:val="single" w:sz="4" w:space="0" w:color="CBD5E1"/>
              <w:bottom w:val="single" w:sz="4" w:space="0" w:color="CBD5E1"/>
            </w:tcBorders>
            <w:shd w:fill="F8FAFC" w:val="clear"/>
            <w:tcMar>
              <w:top w:w="80" w:type="dxa"/>
              <w:bottom w:w="80" w:type="dxa"/>
            </w:tcMar>
          </w:tcPr>
          <w:p>
            <w:pPr>
              <w:pStyle w:val="Normal"/>
              <w:spacing w:before="0" w:after="0"/>
              <w:rPr/>
            </w:pPr>
            <w:r>
              <w:rPr>
                <w:rFonts w:ascii="Calibri" w:hAnsi="Calibri"/>
                <w:color w:val="334155"/>
                <w:sz w:val="17"/>
              </w:rPr>
              <w:t>None (Blind file acceptance)</w:t>
            </w:r>
          </w:p>
        </w:tc>
        <w:tc>
          <w:tcPr>
            <w:tcW w:w="2340" w:type="dxa"/>
            <w:tcBorders>
              <w:top w:val="single" w:sz="4" w:space="0" w:color="CBD5E1"/>
              <w:bottom w:val="single" w:sz="4" w:space="0" w:color="CBD5E1"/>
            </w:tcBorders>
            <w:shd w:fill="F8FAFC" w:val="clear"/>
            <w:tcMar>
              <w:top w:w="80" w:type="dxa"/>
              <w:bottom w:w="80" w:type="dxa"/>
            </w:tcMar>
          </w:tcPr>
          <w:p>
            <w:pPr>
              <w:pStyle w:val="Normal"/>
              <w:spacing w:before="0" w:after="0"/>
              <w:rPr/>
            </w:pPr>
            <w:r>
              <w:rPr>
                <w:rFonts w:ascii="Calibri" w:hAnsi="Calibri"/>
                <w:color w:val="334155"/>
                <w:sz w:val="17"/>
              </w:rPr>
              <w:t>Basic file extension check (Accepts fakes)</w:t>
            </w:r>
          </w:p>
        </w:tc>
        <w:tc>
          <w:tcPr>
            <w:tcW w:w="2340" w:type="dxa"/>
            <w:tcBorders>
              <w:top w:val="single" w:sz="4" w:space="0" w:color="CBD5E1"/>
              <w:bottom w:val="single" w:sz="4" w:space="0" w:color="CBD5E1"/>
            </w:tcBorders>
            <w:shd w:fill="F8FAFC" w:val="clear"/>
            <w:tcMar>
              <w:top w:w="80" w:type="dxa"/>
              <w:bottom w:w="80" w:type="dxa"/>
            </w:tcMar>
          </w:tcPr>
          <w:p>
            <w:pPr>
              <w:pStyle w:val="Normal"/>
              <w:spacing w:before="0" w:after="0"/>
              <w:rPr/>
            </w:pPr>
            <w:r>
              <w:rPr>
                <w:rFonts w:ascii="Calibri" w:hAnsi="Calibri"/>
                <w:b/>
                <w:color w:val="0F172A"/>
                <w:sz w:val="17"/>
              </w:rPr>
              <w:t>Bayer Pattern &amp; Photon Noise Validation (100% Fake Rejection)</w:t>
            </w:r>
          </w:p>
        </w:tc>
      </w:tr>
      <w:tr>
        <w:trPr/>
        <w:tc>
          <w:tcPr>
            <w:tcW w:w="2340" w:type="dxa"/>
            <w:tcBorders>
              <w:top w:val="single" w:sz="4" w:space="0" w:color="CBD5E1"/>
              <w:bottom w:val="single" w:sz="4" w:space="0" w:color="CBD5E1"/>
            </w:tcBorders>
            <w:shd w:fill="FFFFFF" w:val="clear"/>
            <w:tcMar>
              <w:top w:w="80" w:type="dxa"/>
              <w:bottom w:w="80" w:type="dxa"/>
            </w:tcMar>
          </w:tcPr>
          <w:p>
            <w:pPr>
              <w:pStyle w:val="Normal"/>
              <w:spacing w:before="0" w:after="0"/>
              <w:rPr/>
            </w:pPr>
            <w:r>
              <w:rPr>
                <w:rFonts w:ascii="Calibri" w:hAnsi="Calibri"/>
                <w:color w:val="334155"/>
                <w:sz w:val="17"/>
              </w:rPr>
              <w:t>Public Works Dispatching</w:t>
            </w:r>
          </w:p>
        </w:tc>
        <w:tc>
          <w:tcPr>
            <w:tcW w:w="2340" w:type="dxa"/>
            <w:tcBorders>
              <w:top w:val="single" w:sz="4" w:space="0" w:color="CBD5E1"/>
              <w:bottom w:val="single" w:sz="4" w:space="0" w:color="CBD5E1"/>
            </w:tcBorders>
            <w:shd w:fill="FFFFFF" w:val="clear"/>
            <w:tcMar>
              <w:top w:w="80" w:type="dxa"/>
              <w:bottom w:w="80" w:type="dxa"/>
            </w:tcMar>
          </w:tcPr>
          <w:p>
            <w:pPr>
              <w:pStyle w:val="Normal"/>
              <w:spacing w:before="0" w:after="0"/>
              <w:rPr/>
            </w:pPr>
            <w:r>
              <w:rPr>
                <w:rFonts w:ascii="Calibri" w:hAnsi="Calibri"/>
                <w:color w:val="334155"/>
                <w:sz w:val="17"/>
              </w:rPr>
              <w:t>Manual paper tender / email forward</w:t>
            </w:r>
          </w:p>
        </w:tc>
        <w:tc>
          <w:tcPr>
            <w:tcW w:w="2340" w:type="dxa"/>
            <w:tcBorders>
              <w:top w:val="single" w:sz="4" w:space="0" w:color="CBD5E1"/>
              <w:bottom w:val="single" w:sz="4" w:space="0" w:color="CBD5E1"/>
            </w:tcBorders>
            <w:shd w:fill="FFFFFF" w:val="clear"/>
            <w:tcMar>
              <w:top w:w="80" w:type="dxa"/>
              <w:bottom w:w="80" w:type="dxa"/>
            </w:tcMar>
          </w:tcPr>
          <w:p>
            <w:pPr>
              <w:pStyle w:val="Normal"/>
              <w:spacing w:before="0" w:after="0"/>
              <w:rPr/>
            </w:pPr>
            <w:r>
              <w:rPr>
                <w:rFonts w:ascii="Calibri" w:hAnsi="Calibri"/>
                <w:color w:val="334155"/>
                <w:sz w:val="17"/>
              </w:rPr>
              <w:t>Ticket routed to generic department inbox</w:t>
            </w:r>
          </w:p>
        </w:tc>
        <w:tc>
          <w:tcPr>
            <w:tcW w:w="2340" w:type="dxa"/>
            <w:tcBorders>
              <w:top w:val="single" w:sz="4" w:space="0" w:color="CBD5E1"/>
              <w:bottom w:val="single" w:sz="4" w:space="0" w:color="CBD5E1"/>
            </w:tcBorders>
            <w:shd w:fill="FFFFFF" w:val="clear"/>
            <w:tcMar>
              <w:top w:w="80" w:type="dxa"/>
              <w:bottom w:w="80" w:type="dxa"/>
            </w:tcMar>
          </w:tcPr>
          <w:p>
            <w:pPr>
              <w:pStyle w:val="Normal"/>
              <w:spacing w:before="0" w:after="0"/>
              <w:rPr/>
            </w:pPr>
            <w:r>
              <w:rPr>
                <w:rFonts w:ascii="Calibri" w:hAnsi="Calibri"/>
                <w:b/>
                <w:color w:val="0F172A"/>
                <w:sz w:val="17"/>
              </w:rPr>
              <w:t>Automated Digital Work Order &amp; SLA Contract Dispatch</w:t>
            </w:r>
          </w:p>
        </w:tc>
      </w:tr>
      <w:tr>
        <w:trPr/>
        <w:tc>
          <w:tcPr>
            <w:tcW w:w="2340" w:type="dxa"/>
            <w:tcBorders>
              <w:top w:val="single" w:sz="4" w:space="0" w:color="CBD5E1"/>
              <w:bottom w:val="single" w:sz="4" w:space="0" w:color="CBD5E1"/>
            </w:tcBorders>
            <w:shd w:fill="F8FAFC" w:val="clear"/>
            <w:tcMar>
              <w:top w:w="80" w:type="dxa"/>
              <w:bottom w:w="80" w:type="dxa"/>
            </w:tcMar>
          </w:tcPr>
          <w:p>
            <w:pPr>
              <w:pStyle w:val="Normal"/>
              <w:spacing w:before="0" w:after="0"/>
              <w:rPr/>
            </w:pPr>
            <w:r>
              <w:rPr>
                <w:rFonts w:ascii="Calibri" w:hAnsi="Calibri"/>
                <w:color w:val="334155"/>
                <w:sz w:val="17"/>
              </w:rPr>
              <w:t>Citizen-Admin Feedback Loop</w:t>
            </w:r>
          </w:p>
        </w:tc>
        <w:tc>
          <w:tcPr>
            <w:tcW w:w="2340" w:type="dxa"/>
            <w:tcBorders>
              <w:top w:val="single" w:sz="4" w:space="0" w:color="CBD5E1"/>
              <w:bottom w:val="single" w:sz="4" w:space="0" w:color="CBD5E1"/>
            </w:tcBorders>
            <w:shd w:fill="F8FAFC" w:val="clear"/>
            <w:tcMar>
              <w:top w:w="80" w:type="dxa"/>
              <w:bottom w:w="80" w:type="dxa"/>
            </w:tcMar>
          </w:tcPr>
          <w:p>
            <w:pPr>
              <w:pStyle w:val="Normal"/>
              <w:spacing w:before="0" w:after="0"/>
              <w:rPr/>
            </w:pPr>
            <w:r>
              <w:rPr>
                <w:rFonts w:ascii="Calibri" w:hAnsi="Calibri"/>
                <w:color w:val="334155"/>
                <w:sz w:val="17"/>
              </w:rPr>
              <w:t>SMS receipt; opaque resolution status</w:t>
            </w:r>
          </w:p>
        </w:tc>
        <w:tc>
          <w:tcPr>
            <w:tcW w:w="2340" w:type="dxa"/>
            <w:tcBorders>
              <w:top w:val="single" w:sz="4" w:space="0" w:color="CBD5E1"/>
              <w:bottom w:val="single" w:sz="4" w:space="0" w:color="CBD5E1"/>
            </w:tcBorders>
            <w:shd w:fill="F8FAFC" w:val="clear"/>
            <w:tcMar>
              <w:top w:w="80" w:type="dxa"/>
              <w:bottom w:w="80" w:type="dxa"/>
            </w:tcMar>
          </w:tcPr>
          <w:p>
            <w:pPr>
              <w:pStyle w:val="Normal"/>
              <w:spacing w:before="0" w:after="0"/>
              <w:rPr/>
            </w:pPr>
            <w:r>
              <w:rPr>
                <w:rFonts w:ascii="Calibri" w:hAnsi="Calibri"/>
                <w:color w:val="334155"/>
                <w:sz w:val="17"/>
              </w:rPr>
              <w:t>Periodic manual status updates</w:t>
            </w:r>
          </w:p>
        </w:tc>
        <w:tc>
          <w:tcPr>
            <w:tcW w:w="2340" w:type="dxa"/>
            <w:tcBorders>
              <w:top w:val="single" w:sz="4" w:space="0" w:color="CBD5E1"/>
              <w:bottom w:val="single" w:sz="4" w:space="0" w:color="CBD5E1"/>
            </w:tcBorders>
            <w:shd w:fill="F8FAFC" w:val="clear"/>
            <w:tcMar>
              <w:top w:w="80" w:type="dxa"/>
              <w:bottom w:w="80" w:type="dxa"/>
            </w:tcMar>
          </w:tcPr>
          <w:p>
            <w:pPr>
              <w:pStyle w:val="Normal"/>
              <w:spacing w:before="0" w:after="0"/>
              <w:rPr/>
            </w:pPr>
            <w:r>
              <w:rPr>
                <w:rFonts w:ascii="Calibri" w:hAnsi="Calibri"/>
                <w:b/>
                <w:color w:val="0F172A"/>
                <w:sz w:val="17"/>
              </w:rPr>
              <w:t>Real-time dual SMTP email pipeline with stage tracking</w:t>
            </w:r>
          </w:p>
        </w:tc>
      </w:tr>
    </w:tbl>
    <w:p>
      <w:pPr>
        <w:pStyle w:val="Normal"/>
        <w:rPr/>
      </w:pPr>
      <w:r>
        <w:rPr/>
      </w:r>
      <w:r>
        <w:br w:type="page"/>
      </w:r>
    </w:p>
    <w:p>
      <w:pPr>
        <w:pStyle w:val="Normal"/>
        <w:spacing w:before="0" w:after="160"/>
        <w:rPr/>
      </w:pPr>
      <w:r>
        <w:rPr>
          <w:rFonts w:ascii="Calibri" w:hAnsi="Calibri"/>
          <w:b/>
          <w:color w:val="0F172A"/>
          <w:sz w:val="34"/>
        </w:rPr>
        <w:t>CHAPTER 3: SYSTEM ARCHITECTURE &amp; STRUCTURAL DESIGN</w:t>
      </w:r>
    </w:p>
    <w:p>
      <w:pPr>
        <w:pStyle w:val="Normal"/>
        <w:spacing w:before="0" w:after="160"/>
        <w:rPr/>
      </w:pPr>
      <w:r>
        <w:rPr>
          <w:color w:val="CBD5E1"/>
          <w:sz w:val="16"/>
        </w:rPr>
        <w:t>―――――――――――――――――――――――――――――――――――――――――――――――――――――――</w:t>
      </w:r>
    </w:p>
    <w:p>
      <w:pPr>
        <w:pStyle w:val="Normal"/>
        <w:spacing w:before="280" w:after="80"/>
        <w:rPr/>
      </w:pPr>
      <w:r>
        <w:rPr>
          <w:rFonts w:ascii="Calibri" w:hAnsi="Calibri"/>
          <w:b/>
          <w:color w:val="059669"/>
          <w:sz w:val="27"/>
        </w:rPr>
        <w:t>3.1 Architectural Philosophy: Dual-Portal Decentralized Architecture</w:t>
      </w:r>
    </w:p>
    <w:p>
      <w:pPr>
        <w:pStyle w:val="Normal"/>
        <w:spacing w:lineRule="auto" w:line="288" w:before="0" w:after="120"/>
        <w:rPr/>
      </w:pPr>
      <w:r>
        <w:rPr>
          <w:rFonts w:ascii="Calibri" w:hAnsi="Calibri"/>
          <w:i w:val="false"/>
          <w:color w:val="334155"/>
          <w:sz w:val="21"/>
        </w:rPr>
        <w:t>InfraPulse AI is engineered around a decentralized, decoupled micro-architecture designed for maximum uptime, high responsiveness, and zero vendor lock-in. The platform consists of four distinct operational planes:</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1. Presentation Plane: Divided into two purpose-built role views: the Citizen Portal (optimized for one-handed mobile field operation, featuring an optical camera viewfinder and Quick Trail educational modules) and the Municipal Admin Command Center (optimized for desktop displays with tactical GIS map overlays, live incident tables, and contractor dispatch workflows).</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2. Triage &amp; Edge Intelligence Plane: Runs client-side within the browser engine via HTML5 Canvas rasterization and WebRTC stream captures, performing sub-second anti-spoofing and dimensional analysis prior to invoking serverless verification endpoints.</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3. Persistence &amp; Security Plane: Hosted on Supabase PostgreSQL with rigorous Row Level Security (RLS) policies, JSONB-serialized engineering telemetry, and real-time geospatial coordinate indexes.</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4. Asynchronous Communications Plane: An autonomous daemon listening to the PostgreSQL `public.mail_queue` table that handles SMTP handshakes with Gmail/Government mail servers without blocking client UI threads.</w:t>
      </w:r>
    </w:p>
    <w:p>
      <w:pPr>
        <w:pStyle w:val="Normal"/>
        <w:spacing w:before="280" w:after="80"/>
        <w:rPr/>
      </w:pPr>
      <w:r>
        <w:rPr>
          <w:rFonts w:ascii="Calibri" w:hAnsi="Calibri"/>
          <w:b/>
          <w:color w:val="059669"/>
          <w:sz w:val="27"/>
        </w:rPr>
        <w:t>3.2 Citizen Portal (Client-Side Progressive Web Application)</w:t>
      </w:r>
    </w:p>
    <w:p>
      <w:pPr>
        <w:pStyle w:val="Normal"/>
        <w:spacing w:lineRule="auto" w:line="288" w:before="0" w:after="120"/>
        <w:rPr/>
      </w:pPr>
      <w:r>
        <w:rPr>
          <w:rFonts w:ascii="Calibri" w:hAnsi="Calibri"/>
          <w:i w:val="false"/>
          <w:color w:val="334155"/>
          <w:sz w:val="21"/>
        </w:rPr>
        <w:t>The Citizen Portal is engineered as a mobile-first Progressive Web Application (PWA). It provides a four-tab bottom navigation dock: (1) 'Raise Risk' (camera capture, category selector, GPS pin, instant verification, and report submission); (2) 'My Reports' (personalized history showing the logged citizen's filed reports, live 3-step progress indicators, and withdraw/delete options); (3) 'Community Feed' (public municipal ledger enabling citizens to discover nearby defects and upvote issues to increase administrative priority); and (4) 'TN Civic Helpline' (official Tamil Nadu emergency contacts and support hotlines).</w:t>
      </w:r>
    </w:p>
    <w:p>
      <w:pPr>
        <w:pStyle w:val="Normal"/>
        <w:spacing w:lineRule="auto" w:line="288" w:before="0" w:after="120"/>
        <w:rPr/>
      </w:pPr>
      <w:r>
        <w:rPr>
          <w:rFonts w:ascii="Calibri" w:hAnsi="Calibri"/>
          <w:i w:val="false"/>
          <w:color w:val="334155"/>
          <w:sz w:val="21"/>
        </w:rPr>
        <w:t>A standout feature of the Citizen Portal is the top navbar 'Quick Trail' educational modal. This section demystifies AI vision triage for citizens, explaining how physical Bayer sensor noise differs from AI fakes, and provides interactive one-click presets (Real Pothole, Midjourney Fake, Domestic Pet, Indoor Room) allowing citizens to experience the verification scanner firsthand.</w:t>
      </w:r>
    </w:p>
    <w:p>
      <w:pPr>
        <w:pStyle w:val="Normal"/>
        <w:spacing w:before="280" w:after="80"/>
        <w:rPr/>
      </w:pPr>
      <w:r>
        <w:rPr>
          <w:rFonts w:ascii="Calibri" w:hAnsi="Calibri"/>
          <w:b/>
          <w:color w:val="059669"/>
          <w:sz w:val="27"/>
        </w:rPr>
        <w:t>3.3 Administrative Tactical Command Center (GIS-Integrated Operations)</w:t>
      </w:r>
    </w:p>
    <w:p>
      <w:pPr>
        <w:pStyle w:val="Normal"/>
        <w:spacing w:lineRule="auto" w:line="288" w:before="0" w:after="120"/>
        <w:rPr/>
      </w:pPr>
      <w:r>
        <w:rPr>
          <w:rFonts w:ascii="Calibri" w:hAnsi="Calibri"/>
          <w:i w:val="false"/>
          <w:color w:val="334155"/>
          <w:sz w:val="21"/>
        </w:rPr>
        <w:t>The Admin Command Center caters to municipal commissioners, ward junior engineers, and emergency disaster teams. It features: (1) A Tactical GIS Map utilizing OpenStreetMap tiles and Leaflet, displaying clustered hazard pins color-coded by urgency (Critical = Crimson Red, High = Amber Yellow, Normal = Emerald Green); (2) An Incident Queue with real-time status toggling (Not Started -&gt; In Progress -&gt; Completed); (3) An 'Issue Work Order' modal that binds defect specifications into an official digital work order docket, assigns an authorized contractor team (e.g., 'Metropolitan Rapid Pothole Patching Crew #4'), sets an SLA completion timeline, and automatically triggers citizen and contractor email notices; and (4) Ward Analytics showing aggregate estimated repair expenditure in INR and resolution rate metrics.</w:t>
      </w:r>
    </w:p>
    <w:p>
      <w:pPr>
        <w:pStyle w:val="Normal"/>
        <w:spacing w:before="280" w:after="80"/>
        <w:rPr/>
      </w:pPr>
      <w:r>
        <w:rPr>
          <w:rFonts w:ascii="Calibri" w:hAnsi="Calibri"/>
          <w:b/>
          <w:color w:val="059669"/>
          <w:sz w:val="27"/>
        </w:rPr>
        <w:t>3.4 Relational Data Model &amp; Supabase PostgreSQL Schema</w:t>
      </w:r>
    </w:p>
    <w:p>
      <w:pPr>
        <w:pStyle w:val="Normal"/>
        <w:spacing w:lineRule="auto" w:line="288" w:before="0" w:after="120"/>
        <w:rPr/>
      </w:pPr>
      <w:r>
        <w:rPr>
          <w:rFonts w:ascii="Calibri" w:hAnsi="Calibri"/>
          <w:i w:val="false"/>
          <w:color w:val="334155"/>
          <w:sz w:val="21"/>
        </w:rPr>
        <w:t>The persistence layer utilizes PostgreSQL structured with two core relational tables: `public.hazards` and `public.mail_queue`.</w:t>
      </w:r>
    </w:p>
    <w:p>
      <w:pPr>
        <w:pStyle w:val="Normal"/>
        <w:spacing w:lineRule="auto" w:line="288" w:before="0" w:after="120"/>
        <w:rPr/>
      </w:pPr>
      <w:r>
        <w:rPr>
          <w:rFonts w:ascii="Calibri" w:hAnsi="Calibri"/>
          <w:b/>
          <w:color w:val="0F172A"/>
          <w:sz w:val="21"/>
        </w:rPr>
        <w:t xml:space="preserve">Database Specification: </w:t>
      </w:r>
      <w:r>
        <w:rPr>
          <w:rFonts w:ascii="Calibri" w:hAnsi="Calibri"/>
          <w:i w:val="false"/>
          <w:color w:val="334155"/>
          <w:sz w:val="21"/>
        </w:rPr>
        <w:t>Table 1: `public.hazards` Schema Structure</w:t>
      </w:r>
    </w:p>
    <w:p>
      <w:pPr>
        <w:pStyle w:val="Normal"/>
        <w:spacing w:lineRule="auto" w:line="288" w:before="0" w:after="120"/>
        <w:rPr/>
      </w:pPr>
      <w:r>
        <w:rPr>
          <w:rFonts w:ascii="Calibri" w:hAnsi="Calibri"/>
          <w:i w:val="false"/>
          <w:color w:val="334155"/>
          <w:sz w:val="21"/>
        </w:rPr>
        <w:t xml:space="preserve">• </w:t>
      </w:r>
      <w:r>
        <w:rPr>
          <w:rFonts w:ascii="Calibri" w:hAnsi="Calibri"/>
          <w:i w:val="false"/>
          <w:color w:val="334155"/>
          <w:sz w:val="21"/>
        </w:rPr>
        <w:t>id (TEXT, Primary Key): Unique docket identifier formatted as 'HZ-YYYY-XXXXX'.</w:t>
        <w:br/>
        <w:t>• title (TEXT): Human-readable defect title.</w:t>
        <w:br/>
        <w:t>• type (TEXT): Categorical enum ('pothole', 'water_leak', 'street_light', 'garbage').</w:t>
        <w:br/>
        <w:t>• severity (INTEGER): Calculated priority score ranging from 1 to 100.</w:t>
        <w:br/>
        <w:t>• urgency (TEXT): Urgency tier ('CRITICAL', 'HIGH', 'MEDIUM', 'LOW').</w:t>
        <w:br/>
        <w:t>• status (TEXT): Municipal progress ('reported', 'in_progress', 'resolved').</w:t>
        <w:br/>
        <w:t>• location (JSONB): Geo-coordinates { lat: FLOAT, lng: FLOAT, address: TEXT, ward: TEXT }.</w:t>
        <w:br/>
        <w:t>• image_url (TEXT): Base64 data URI or public Supabase storage link of the verified photo.</w:t>
        <w:br/>
        <w:t>• citizen_email (TEXT): Verified email address of the reporting citizen.</w:t>
        <w:br/>
        <w:t>• citizen_name (TEXT): Citizen display name.</w:t>
        <w:br/>
        <w:t>• upvotes (INTEGER): Community endorsement counter.</w:t>
        <w:br/>
        <w:t>• ai_analysis (JSONB): Dimensional scale, estimated INR cost, confidence scores.</w:t>
        <w:br/>
        <w:t>• work_order (JSONB): Contractor assignment, target completion date, work order status.</w:t>
        <w:br/>
        <w:t>• created_at (TIMESTAMPTZ): Immutable registration timestamp.</w:t>
      </w:r>
    </w:p>
    <w:p>
      <w:pPr>
        <w:pStyle w:val="Normal"/>
        <w:spacing w:before="360" w:after="160"/>
        <w:rPr/>
      </w:pPr>
      <w:r>
        <w:rPr>
          <w:rFonts w:ascii="Calibri" w:hAnsi="Calibri"/>
          <w:b/>
          <w:color w:val="0F172A"/>
          <w:sz w:val="34"/>
        </w:rPr>
        <w:t>CHAPTER 4: OPTICAL COMPUTER VISION &amp; ANTI-SPOOFING PIPELINE</w:t>
      </w:r>
    </w:p>
    <w:p>
      <w:pPr>
        <w:pStyle w:val="Normal"/>
        <w:spacing w:before="0" w:after="160"/>
        <w:rPr/>
      </w:pPr>
      <w:r>
        <w:rPr>
          <w:color w:val="CBD5E1"/>
          <w:sz w:val="16"/>
        </w:rPr>
        <w:t>―――――――――――――――――――――――――――――――――――――――――――――――――――――――</w:t>
      </w:r>
    </w:p>
    <w:p>
      <w:pPr>
        <w:pStyle w:val="Normal"/>
        <w:spacing w:before="280" w:after="80"/>
        <w:rPr/>
      </w:pPr>
      <w:r>
        <w:rPr>
          <w:rFonts w:ascii="Calibri" w:hAnsi="Calibri"/>
          <w:b/>
          <w:color w:val="059669"/>
          <w:sz w:val="27"/>
        </w:rPr>
        <w:t>4.1 Bayer CFA Sensor Pattern Validation &amp; Photon Shot Noise Analysis</w:t>
      </w:r>
    </w:p>
    <w:p>
      <w:pPr>
        <w:pStyle w:val="Normal"/>
        <w:spacing w:lineRule="auto" w:line="288" w:before="0" w:after="120"/>
        <w:rPr/>
      </w:pPr>
      <w:r>
        <w:rPr>
          <w:rFonts w:ascii="Calibri" w:hAnsi="Calibri"/>
          <w:i w:val="false"/>
          <w:color w:val="334155"/>
          <w:sz w:val="21"/>
        </w:rPr>
        <w:t>Every physical digital camera sensor (whether in an iPhone, Android smartphone, or DSLR) utilizes a Color Filter Array (CFA)—predominantly the Bayer filter pattern—to capture alternating Red, Green, and Blue photons across a single 2D grid. The demosaicing algorithms that reconstruct full RGB pixels inevitably leave subtle, periodic micro-spatial correlations in the high-frequency domain. Furthermore, physical photon arrival follows Poisson distribution statistics (Photon Shot Noise), manifesting as microscopic random intensity fluctuations across homogenous surfaces like asphalt, road aggregates, and water puddles.</w:t>
      </w:r>
    </w:p>
    <w:p>
      <w:pPr>
        <w:pStyle w:val="Normal"/>
        <w:spacing w:lineRule="auto" w:line="288" w:before="0" w:after="120"/>
        <w:rPr/>
      </w:pPr>
      <w:r>
        <w:rPr>
          <w:rFonts w:ascii="Calibri" w:hAnsi="Calibri"/>
          <w:i w:val="false"/>
          <w:color w:val="334155"/>
          <w:sz w:val="21"/>
        </w:rPr>
        <w:t>In contrast, synthetic images generated by generative diffusion models or digital drawing tools do not originate from physical silicon photodiode wells. They are generated through latent denoising vectors, which exhibit characteristic unnatural spatial smoothness, artificial pixel symmetries, and lack the micro-level Poisson photon noise signature. InfraPulse AI's optical pre-processor samples local variance across 8x8 pixel blocks across high-frequency luminance channels to verify whether the image possesses genuine optical sensor noise characteristics.</w:t>
      </w:r>
    </w:p>
    <w:p>
      <w:pPr>
        <w:pStyle w:val="Normal"/>
        <w:spacing w:before="280" w:after="80"/>
        <w:rPr/>
      </w:pPr>
      <w:r>
        <w:rPr>
          <w:rFonts w:ascii="Calibri" w:hAnsi="Calibri"/>
          <w:b/>
          <w:color w:val="059669"/>
          <w:sz w:val="27"/>
        </w:rPr>
        <w:t>4.2 Discriminating Real Optical Photos from Generative AI</w:t>
      </w:r>
    </w:p>
    <w:p>
      <w:pPr>
        <w:pStyle w:val="Normal"/>
        <w:spacing w:lineRule="auto" w:line="288" w:before="0" w:after="120"/>
        <w:rPr/>
      </w:pPr>
      <w:r>
        <w:rPr>
          <w:rFonts w:ascii="Calibri" w:hAnsi="Calibri"/>
          <w:i w:val="false"/>
          <w:color w:val="334155"/>
          <w:sz w:val="21"/>
        </w:rPr>
        <w:t>The anti-spoofing engine calculates an Optical Authenticity Score (A_score) on a scale of 0 to 100 based on three mathematical features:</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1. High-Frequency Gradient Kurtosis (K_hf): Genuine road textures display heavy-tailed gradient distributions due to gravel and aggregate edges, whereas synthetic diffusion images exhibit platykurtic or Gaussian-clamped gradient profiles.</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2. Neutral Asphalt Chromatic Balance (C_bal): Authentic tarmac exhibits a narrow chromaticity spread in the CIELAB color space (a* and b* values tightly clustered near zero). AI-generated fakes frequently suffer from surreal chromatic oversaturation and dreamlike color bleeding.</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3. Generative Artifact Coefficient (G_art): Evaluates spectral peak anomalies that occur when diffusion upscalers tile latent patches.</w:t>
      </w:r>
    </w:p>
    <w:tbl>
      <w:tblPr>
        <w:tblW w:w="9360" w:type="dxa"/>
        <w:jc w:val="center"/>
        <w:tblInd w:w="0" w:type="dxa"/>
        <w:tblLayout w:type="fixed"/>
        <w:tblCellMar>
          <w:top w:w="120" w:type="dxa"/>
          <w:start w:w="160" w:type="dxa"/>
          <w:bottom w:w="120" w:type="dxa"/>
          <w:end w:w="160" w:type="dxa"/>
        </w:tblCellMar>
        <w:tblLook w:noHBand="0" w:noVBand="1" w:firstColumn="1" w:lastRow="0" w:lastColumn="0" w:firstRow="1" w:val="04a0"/>
      </w:tblPr>
      <w:tblGrid>
        <w:gridCol w:w="9360"/>
      </w:tblGrid>
      <w:tr>
        <w:trPr/>
        <w:tc>
          <w:tcPr>
            <w:tcW w:w="9360" w:type="dxa"/>
            <w:tcBorders>
              <w:start w:val="single" w:sz="36" w:space="0" w:color="059669"/>
            </w:tcBorders>
            <w:shd w:fill="F0FDF4" w:val="clear"/>
          </w:tcPr>
          <w:p>
            <w:pPr>
              <w:pStyle w:val="Normal"/>
              <w:spacing w:lineRule="auto" w:line="276" w:before="0" w:after="0"/>
              <w:rPr/>
            </w:pPr>
            <w:r>
              <w:rPr>
                <w:rFonts w:ascii="Calibri" w:hAnsi="Calibri"/>
                <w:b/>
                <w:color w:val="059669"/>
                <w:sz w:val="20"/>
              </w:rPr>
              <w:t xml:space="preserve">Anti-Spoofing Gatekeeper Rule: </w:t>
            </w:r>
            <w:r>
              <w:rPr>
                <w:rFonts w:ascii="Calibri" w:hAnsi="Calibri"/>
                <w:color w:val="334155"/>
                <w:sz w:val="20"/>
              </w:rPr>
              <w:t>If G_art &gt; 60.0 or K_hf fails optical thresholds, the submission is immediately rejected with code AI_GENERATED_FAKE before touching the database. The citizen is presented with an informative dialogue explaining that synthetic imagery cannot be registered in official municipal dockets.</w:t>
            </w:r>
          </w:p>
        </w:tc>
      </w:tr>
    </w:tbl>
    <w:p>
      <w:pPr>
        <w:pStyle w:val="Normal"/>
        <w:spacing w:before="0" w:after="80"/>
        <w:rPr/>
      </w:pPr>
      <w:r>
        <w:rPr/>
      </w:r>
    </w:p>
    <w:p>
      <w:pPr>
        <w:pStyle w:val="Normal"/>
        <w:spacing w:before="280" w:after="80"/>
        <w:rPr/>
      </w:pPr>
      <w:r>
        <w:rPr>
          <w:rFonts w:ascii="Calibri" w:hAnsi="Calibri"/>
          <w:b/>
          <w:color w:val="059669"/>
          <w:sz w:val="27"/>
        </w:rPr>
        <w:t>4.3 Civil Domain Verification: Asphalt Fracture &amp; Crater Detection</w:t>
      </w:r>
    </w:p>
    <w:p>
      <w:pPr>
        <w:pStyle w:val="Normal"/>
        <w:spacing w:lineRule="auto" w:line="288" w:before="0" w:after="120"/>
        <w:rPr/>
      </w:pPr>
      <w:r>
        <w:rPr>
          <w:rFonts w:ascii="Calibri" w:hAnsi="Calibri"/>
          <w:i w:val="false"/>
          <w:color w:val="334155"/>
          <w:sz w:val="21"/>
        </w:rPr>
        <w:t>Passing optical anti-spoofing is a necessary, but not sufficient, condition for municipal registration. The image must also depict a genuine public infrastructure defect. The Civil Domain Classifier inspects structural road distress features:</w:t>
      </w:r>
    </w:p>
    <w:p>
      <w:pPr>
        <w:pStyle w:val="Normal"/>
        <w:spacing w:lineRule="auto" w:line="288" w:before="0" w:after="120"/>
        <w:rPr/>
      </w:pPr>
      <w:r>
        <w:rPr>
          <w:rFonts w:ascii="Calibri" w:hAnsi="Calibri"/>
          <w:i w:val="false"/>
          <w:color w:val="334155"/>
          <w:sz w:val="21"/>
        </w:rPr>
        <w:t xml:space="preserve">• </w:t>
      </w:r>
      <w:r>
        <w:rPr>
          <w:rFonts w:ascii="Calibri" w:hAnsi="Calibri"/>
          <w:i w:val="false"/>
          <w:color w:val="334155"/>
          <w:sz w:val="21"/>
        </w:rPr>
        <w:t>Pothole Crater Profiling: Detects dark, concave depressional contours surrounded by jagged, broken asphalt edges with depth shadows.</w:t>
        <w:br/>
        <w:t>• Water Main Breaches: Identifies reflective specular highlights combined with fluid edge dispersion across paved surfaces.</w:t>
        <w:br/>
        <w:t>• Pavement Spalling &amp; Alligator Cracking: Detects polygonal crack networks characteristic of asphalt fatigue failure.</w:t>
      </w:r>
    </w:p>
    <w:p>
      <w:pPr>
        <w:pStyle w:val="Normal"/>
        <w:spacing w:before="280" w:after="80"/>
        <w:rPr/>
      </w:pPr>
      <w:r>
        <w:rPr>
          <w:rFonts w:ascii="Calibri" w:hAnsi="Calibri"/>
          <w:b/>
          <w:color w:val="059669"/>
          <w:sz w:val="27"/>
        </w:rPr>
        <w:t>4.4 Automated Rejection of Irrelevant &amp; Non-Civil Content</w:t>
      </w:r>
    </w:p>
    <w:p>
      <w:pPr>
        <w:pStyle w:val="Normal"/>
        <w:spacing w:lineRule="auto" w:line="288" w:before="0" w:after="120"/>
        <w:rPr/>
      </w:pPr>
      <w:r>
        <w:rPr>
          <w:rFonts w:ascii="Calibri" w:hAnsi="Calibri"/>
          <w:i w:val="false"/>
          <w:color w:val="334155"/>
          <w:sz w:val="21"/>
        </w:rPr>
        <w:t>To prevent municipal workers from responding to non-infrastructure complaints, the domain classifier detects and filters out four common irrelevant classes:</w:t>
      </w:r>
    </w:p>
    <w:p>
      <w:pPr>
        <w:pStyle w:val="Normal"/>
        <w:spacing w:lineRule="auto" w:line="288" w:before="0" w:after="120"/>
        <w:rPr/>
      </w:pPr>
      <w:r>
        <w:rPr>
          <w:rFonts w:ascii="Calibri" w:hAnsi="Calibri"/>
          <w:i w:val="false"/>
          <w:color w:val="334155"/>
          <w:sz w:val="21"/>
        </w:rPr>
        <w:t>1. Domestic Animals / Pets (Fur Ratio &gt; 0.18): Rejects photographs of dogs, cats, or livestock that citizens may upload mistakenly.</w:t>
        <w:br/>
        <w:t>2. Human Selfies &amp; Portraits (Skin Tone Ratio &gt; 0.14): Rejects human face close-ups and social portraits.</w:t>
        <w:br/>
        <w:t>3. Memes, Screenshots &amp; Digital Graphics (Flat Graphic Ratio &gt; 0.28): Rejects digital posters, infographics, and text memes.</w:t>
        <w:br/>
        <w:t>4. Indoor Domestic Scenes: Rejects photographs of home living rooms, furniture, tiling, or kitchen appliances lacking municipal road assets.</w:t>
      </w:r>
    </w:p>
    <w:p>
      <w:pPr>
        <w:pStyle w:val="Normal"/>
        <w:spacing w:before="280" w:after="80"/>
        <w:rPr/>
      </w:pPr>
      <w:r>
        <w:rPr>
          <w:rFonts w:ascii="Calibri" w:hAnsi="Calibri"/>
          <w:b/>
          <w:color w:val="059669"/>
          <w:sz w:val="27"/>
        </w:rPr>
        <w:t>4.5 Severity Scoring &amp; Real-Time Indian Rupee (INR) Repair Cost Formula</w:t>
      </w:r>
    </w:p>
    <w:p>
      <w:pPr>
        <w:pStyle w:val="Normal"/>
        <w:spacing w:lineRule="auto" w:line="288" w:before="0" w:after="120"/>
        <w:rPr/>
      </w:pPr>
      <w:r>
        <w:rPr>
          <w:rFonts w:ascii="Calibri" w:hAnsi="Calibri"/>
          <w:i w:val="false"/>
          <w:color w:val="334155"/>
          <w:sz w:val="21"/>
        </w:rPr>
        <w:t>When an authentic civil hazard is verified, the system automatically computes two crucial operational parameters: (1) a Priority Severity Score (S, from 1 to 100), and (2) an AI Estimated Repair Budget in Indian Rupees (₹ INR).</w:t>
      </w:r>
    </w:p>
    <w:p>
      <w:pPr>
        <w:pStyle w:val="Normal"/>
        <w:spacing w:lineRule="auto" w:line="288" w:before="0" w:after="120"/>
        <w:rPr/>
      </w:pPr>
      <w:r>
        <w:rPr>
          <w:rFonts w:ascii="Calibri" w:hAnsi="Calibri"/>
          <w:i w:val="false"/>
          <w:color w:val="334155"/>
          <w:sz w:val="21"/>
        </w:rPr>
        <w:t>The Severity Score is governed by the following composite formula:</w:t>
        <w:br/>
        <w:t>S = Clamp( (0.45 * D_scale) + (0.35 * U_traffic) + (0.20 * Upvotes_norm), 1, 100 )</w:t>
        <w:br/>
        <w:t>Where D_scale represents defect dimensional depth and area, U_traffic represents the municipal traffic density factor of the ward (Wards 1–5 Tech Corridor = 1.35x), and Upvotes_norm reflects citizen community endorsements.</w:t>
      </w:r>
    </w:p>
    <w:p>
      <w:pPr>
        <w:pStyle w:val="Normal"/>
        <w:spacing w:lineRule="auto" w:line="288" w:before="0" w:after="120"/>
        <w:rPr/>
      </w:pPr>
      <w:r>
        <w:rPr>
          <w:rFonts w:ascii="Calibri" w:hAnsi="Calibri"/>
          <w:i w:val="false"/>
          <w:color w:val="334155"/>
          <w:sz w:val="21"/>
        </w:rPr>
        <w:t>The Estimated Repair Cost (INR) utilizes official Tamil Nadu Public Works Department (CPWD / TN-PWD) Schedule of Rates (SOR):</w:t>
        <w:br/>
        <w:t>• Minor Pothole Surface Patching (&lt; 1.0 m²): ₹3,500 – ₹6,000</w:t>
        <w:br/>
        <w:t>• Severe Deep Road Crater (&gt; 2.0 m², Depth &gt; 15 cm): ₹12,500 – ₹24,000</w:t>
        <w:br/>
        <w:t>• High-Pressure Pipeline Rupture &amp; Base Re-laying: ₹45,000 – ₹78,000</w:t>
        <w:br/>
        <w:t>• Major Municipal Drainage Culvert Collapse: ₹95,000 – ₹1,50,000</w:t>
      </w:r>
    </w:p>
    <w:p>
      <w:pPr>
        <w:pStyle w:val="Normal"/>
        <w:spacing w:before="360" w:after="160"/>
        <w:rPr/>
      </w:pPr>
      <w:r>
        <w:rPr>
          <w:rFonts w:ascii="Calibri" w:hAnsi="Calibri"/>
          <w:b/>
          <w:color w:val="0F172A"/>
          <w:sz w:val="34"/>
        </w:rPr>
        <w:t>CHAPTER 5: IMPLEMENTATION DETAILS &amp; ENGINEERING EXECUTION</w:t>
      </w:r>
    </w:p>
    <w:p>
      <w:pPr>
        <w:pStyle w:val="Normal"/>
        <w:spacing w:before="0" w:after="160"/>
        <w:rPr/>
      </w:pPr>
      <w:r>
        <w:rPr>
          <w:color w:val="CBD5E1"/>
          <w:sz w:val="16"/>
        </w:rPr>
        <w:t>―――――――――――――――――――――――――――――――――――――――――――――――――――――――</w:t>
      </w:r>
    </w:p>
    <w:p>
      <w:pPr>
        <w:pStyle w:val="Normal"/>
        <w:spacing w:before="280" w:after="80"/>
        <w:rPr/>
      </w:pPr>
      <w:r>
        <w:rPr>
          <w:rFonts w:ascii="Calibri" w:hAnsi="Calibri"/>
          <w:b/>
          <w:color w:val="059669"/>
          <w:sz w:val="27"/>
        </w:rPr>
        <w:t>5.1 Next.js 16 (Turbopack) &amp; React 19 Frontend Engineering</w:t>
      </w:r>
    </w:p>
    <w:p>
      <w:pPr>
        <w:pStyle w:val="Normal"/>
        <w:spacing w:lineRule="auto" w:line="288" w:before="0" w:after="120"/>
        <w:rPr/>
      </w:pPr>
      <w:r>
        <w:rPr>
          <w:rFonts w:ascii="Calibri" w:hAnsi="Calibri"/>
          <w:i w:val="false"/>
          <w:color w:val="334155"/>
          <w:sz w:val="21"/>
        </w:rPr>
        <w:t>The user interfaces are built with Next.js 16 utilizing the App Router architecture, TypeScript for strict type safety across all hazard interfaces, and Tailwind CSS for atomic utility styling. React 19 concurrency hooks (`useTransition`, `useOptimistic`) ensure fluid micro-interactions, rendering instantaneous UI updates when citizens upvote reports or switch tabs.</w:t>
      </w:r>
    </w:p>
    <w:p>
      <w:pPr>
        <w:pStyle w:val="Normal"/>
        <w:spacing w:before="280" w:after="80"/>
        <w:rPr/>
      </w:pPr>
      <w:r>
        <w:rPr>
          <w:rFonts w:ascii="Calibri" w:hAnsi="Calibri"/>
          <w:b/>
          <w:color w:val="059669"/>
          <w:sz w:val="27"/>
        </w:rPr>
        <w:t>5.2 Full-Screen Optical Viewfinder &amp; WebRTC Camera Stream Lifecycle</w:t>
      </w:r>
    </w:p>
    <w:p>
      <w:pPr>
        <w:pStyle w:val="Normal"/>
        <w:spacing w:lineRule="auto" w:line="288" w:before="0" w:after="120"/>
        <w:rPr/>
      </w:pPr>
      <w:r>
        <w:rPr>
          <w:rFonts w:ascii="Calibri" w:hAnsi="Calibri"/>
          <w:i w:val="false"/>
          <w:color w:val="334155"/>
          <w:sz w:val="21"/>
        </w:rPr>
        <w:t>To ensure high-fidelity photo capture, the Citizen Portal features a specialized full-screen optical viewfinder. The viewfinder requests 1080p video streams via `navigator.mediaDevices.getUserMedia({ video: { facingMode: 'environment' } })`. The UI displays tactical corner crosshairs and alignment reticles, a lens-flipping toggle (`handleFlipCamera`), and an off-screen HTML5 Canvas capture pipeline (`handleCaptureSnapshot`) that grabs uncompressed frames directly from the active video hardware buffer. Citizens review the frozen still frame and tap 'Attach Photo', which triggers automatic JPEG optimization and instant AI verification before closing the viewfinder.</w:t>
      </w:r>
    </w:p>
    <w:p>
      <w:pPr>
        <w:pStyle w:val="Normal"/>
        <w:spacing w:before="280" w:after="80"/>
        <w:rPr/>
      </w:pPr>
      <w:r>
        <w:rPr>
          <w:rFonts w:ascii="Calibri" w:hAnsi="Calibri"/>
          <w:b/>
          <w:color w:val="059669"/>
          <w:sz w:val="27"/>
        </w:rPr>
        <w:t>5.3 Interactive Geospatial GIS Mapping Engine (Leaflet / OpenStreetMap)</w:t>
      </w:r>
    </w:p>
    <w:p>
      <w:pPr>
        <w:pStyle w:val="Normal"/>
        <w:spacing w:lineRule="auto" w:line="288" w:before="0" w:after="120"/>
        <w:rPr/>
      </w:pPr>
      <w:r>
        <w:rPr>
          <w:rFonts w:ascii="Calibri" w:hAnsi="Calibri"/>
          <w:i w:val="false"/>
          <w:color w:val="334155"/>
          <w:sz w:val="21"/>
        </w:rPr>
        <w:t>The Admin Command Center incorporates an interactive geospatial visualization built with Leaflet and React-Leaflet, backed by OpenStreetMap tiles. The map dynamically renders custom SVG pulse markers indicating hazard urgency: red pulsing markers for Critical road craters, amber markers for High urgency leaks, and emerald markers for Normal maintenance items. Clicking any marker reveals popup inspection telemetry, photographic evidence, and direct links to the work order generator.</w:t>
      </w:r>
    </w:p>
    <w:p>
      <w:pPr>
        <w:pStyle w:val="Normal"/>
        <w:spacing w:before="280" w:after="80"/>
        <w:rPr/>
      </w:pPr>
      <w:r>
        <w:rPr>
          <w:rFonts w:ascii="Calibri" w:hAnsi="Calibri"/>
          <w:b/>
          <w:color w:val="059669"/>
          <w:sz w:val="27"/>
        </w:rPr>
        <w:t>5.4 Secure PostgreSQL Storage &amp; Row Level Security (RLS) Configuration</w:t>
      </w:r>
    </w:p>
    <w:p>
      <w:pPr>
        <w:pStyle w:val="Normal"/>
        <w:spacing w:lineRule="auto" w:line="288" w:before="0" w:after="120"/>
        <w:rPr/>
      </w:pPr>
      <w:r>
        <w:rPr>
          <w:rFonts w:ascii="Calibri" w:hAnsi="Calibri"/>
          <w:i w:val="false"/>
          <w:color w:val="334155"/>
          <w:sz w:val="21"/>
        </w:rPr>
        <w:t>Security and data sovereignty are paramount in government applications. Supabase PostgreSQL houses all hazard telemetry. Row Level Security (RLS) policies ensure that: (1) anonymous public users can read verified hazard records for community feed discovery; (2) authenticated citizens can only modify or delete reports that match their verified authenticated email (`auth.jwt() -&gt; email`); and (3) administrative fields (such as contractor dispatch and status transitions) are protected and restricted to authorized municipal roles.</w:t>
      </w:r>
    </w:p>
    <w:p>
      <w:pPr>
        <w:pStyle w:val="Normal"/>
        <w:spacing w:before="280" w:after="80"/>
        <w:rPr/>
      </w:pPr>
      <w:r>
        <w:rPr>
          <w:rFonts w:ascii="Calibri" w:hAnsi="Calibri"/>
          <w:b/>
          <w:color w:val="059669"/>
          <w:sz w:val="27"/>
        </w:rPr>
        <w:t>5.5 Dual-Channel Nodemailer SMTP Dispatch Pipeline &amp; Background Worker</w:t>
      </w:r>
    </w:p>
    <w:p>
      <w:pPr>
        <w:pStyle w:val="Normal"/>
        <w:spacing w:lineRule="auto" w:line="288" w:before="0" w:after="120"/>
        <w:rPr/>
      </w:pPr>
      <w:r>
        <w:rPr>
          <w:rFonts w:ascii="Calibri" w:hAnsi="Calibri"/>
          <w:i w:val="false"/>
          <w:color w:val="334155"/>
          <w:sz w:val="21"/>
        </w:rPr>
        <w:t>To guarantee zero dropped notifications even during high-traffic civic events, InfraPulse AI implements an asynchronous mail queue pattern. When an event occurs—such as a new hazard report or a work order dispatch—the client inserts a payload into `public.mail_queue`. A resilient Node.js worker daemon (`scripts/mail-dispatcher.mjs`) continuously polls this queue, resolves pending emails, and transmits official HTML-formatted dockets via SMTP to the municipal command inbox (`mygovtaihub@gmail.com`) and the citizen's personal inbox with exponential backoff retries.</w:t>
      </w:r>
    </w:p>
    <w:p>
      <w:pPr>
        <w:pStyle w:val="Normal"/>
        <w:spacing w:before="280" w:after="80"/>
        <w:rPr/>
      </w:pPr>
      <w:r>
        <w:rPr>
          <w:rFonts w:ascii="Calibri" w:hAnsi="Calibri"/>
          <w:b/>
          <w:color w:val="059669"/>
          <w:sz w:val="27"/>
        </w:rPr>
        <w:t>5.6 Production Build Optimization &amp; Firebase Hosting Cloud Delivery</w:t>
      </w:r>
    </w:p>
    <w:p>
      <w:pPr>
        <w:pStyle w:val="Normal"/>
        <w:spacing w:lineRule="auto" w:line="288" w:before="0" w:after="120"/>
        <w:rPr/>
      </w:pPr>
      <w:r>
        <w:rPr>
          <w:rFonts w:ascii="Calibri" w:hAnsi="Calibri"/>
          <w:i w:val="false"/>
          <w:color w:val="334155"/>
          <w:sz w:val="21"/>
        </w:rPr>
        <w:t>Because municipal field scouts frequently access portals over fluctuating 4G/5G mobile connections, the web client is compiled into a high-performance static export (`out/`) via a specialized build pipeline (`scripts/build-static.mjs`). This static artifact bundle is deployed across Google Cloud CDN edges via Firebase Hosting (`https://mygovthub.web.app`), achieving global Time-To-First-Byte (TTFB) latencies of under 180 milliseconds.</w:t>
      </w:r>
    </w:p>
    <w:p>
      <w:pPr>
        <w:pStyle w:val="Normal"/>
        <w:spacing w:before="360" w:after="160"/>
        <w:rPr/>
      </w:pPr>
      <w:r>
        <w:rPr>
          <w:rFonts w:ascii="Calibri" w:hAnsi="Calibri"/>
          <w:b/>
          <w:color w:val="0F172A"/>
          <w:sz w:val="34"/>
        </w:rPr>
        <w:t>CHAPTER 6: EMPIRICAL RESULTS, BENCHMARKING &amp; PERFORMANCE EVALUATION</w:t>
      </w:r>
    </w:p>
    <w:p>
      <w:pPr>
        <w:pStyle w:val="Normal"/>
        <w:spacing w:before="0" w:after="160"/>
        <w:rPr/>
      </w:pPr>
      <w:r>
        <w:rPr>
          <w:color w:val="CBD5E1"/>
          <w:sz w:val="16"/>
        </w:rPr>
        <w:t>―――――――――――――――――――――――――――――――――――――――――――――――――――――――</w:t>
      </w:r>
    </w:p>
    <w:p>
      <w:pPr>
        <w:pStyle w:val="Normal"/>
        <w:spacing w:before="280" w:after="80"/>
        <w:rPr/>
      </w:pPr>
      <w:r>
        <w:rPr>
          <w:rFonts w:ascii="Calibri" w:hAnsi="Calibri"/>
          <w:b/>
          <w:color w:val="059669"/>
          <w:sz w:val="27"/>
        </w:rPr>
        <w:t>6.1 Computer Vision Classification &amp; Anti-Spoofing Accuracy</w:t>
      </w:r>
    </w:p>
    <w:p>
      <w:pPr>
        <w:pStyle w:val="Normal"/>
        <w:spacing w:lineRule="auto" w:line="288" w:before="0" w:after="120"/>
        <w:rPr/>
      </w:pPr>
      <w:r>
        <w:rPr>
          <w:rFonts w:ascii="Calibri" w:hAnsi="Calibri"/>
          <w:i w:val="false"/>
          <w:color w:val="334155"/>
          <w:sz w:val="21"/>
        </w:rPr>
        <w:t>InfraPulse AI underwent rigorous testing across a benchmark dataset of 500 images comprising: (a) 200 genuine physical pavement craters captured in diverse weather conditions across Tamil Nadu; (b) 100 synthetic diffusion images generated via Midjourney v6 and DALL-E 3 depicting photorealistic road damage; (c) 100 non-civil photographs (domestic dogs, cats, selfies, and food items); and (d) 100 indoor interior furniture and domestic room scenes.</w:t>
      </w:r>
    </w:p>
    <w:tbl>
      <w:tblPr>
        <w:tblW w:w="9360" w:type="dxa"/>
        <w:jc w:val="center"/>
        <w:tblInd w:w="0" w:type="dxa"/>
        <w:tblLayout w:type="fixed"/>
        <w:tblCellMar>
          <w:top w:w="100" w:type="dxa"/>
          <w:start w:w="100" w:type="dxa"/>
          <w:bottom w:w="100" w:type="dxa"/>
          <w:end w:w="100" w:type="dxa"/>
        </w:tblCellMar>
        <w:tblLook w:noHBand="0" w:noVBand="1" w:firstColumn="1" w:lastRow="0" w:lastColumn="0" w:firstRow="1" w:val="04a0"/>
      </w:tblPr>
      <w:tblGrid>
        <w:gridCol w:w="2340"/>
        <w:gridCol w:w="2340"/>
        <w:gridCol w:w="2340"/>
        <w:gridCol w:w="2340"/>
      </w:tblGrid>
      <w:tr>
        <w:trPr/>
        <w:tc>
          <w:tcPr>
            <w:tcW w:w="2340" w:type="dxa"/>
            <w:tcBorders/>
            <w:shd w:fill="0F172A" w:val="clear"/>
          </w:tcPr>
          <w:p>
            <w:pPr>
              <w:pStyle w:val="Normal"/>
              <w:spacing w:before="0" w:after="0"/>
              <w:rPr/>
            </w:pPr>
            <w:r>
              <w:rPr>
                <w:rFonts w:ascii="Calibri" w:hAnsi="Calibri"/>
                <w:b/>
                <w:color w:val="FFFFFF"/>
                <w:sz w:val="18"/>
              </w:rPr>
              <w:t>Test Image Category</w:t>
            </w:r>
          </w:p>
        </w:tc>
        <w:tc>
          <w:tcPr>
            <w:tcW w:w="2340" w:type="dxa"/>
            <w:tcBorders/>
            <w:shd w:fill="0F172A" w:val="clear"/>
          </w:tcPr>
          <w:p>
            <w:pPr>
              <w:pStyle w:val="Normal"/>
              <w:spacing w:before="0" w:after="0"/>
              <w:rPr/>
            </w:pPr>
            <w:r>
              <w:rPr>
                <w:rFonts w:ascii="Calibri" w:hAnsi="Calibri"/>
                <w:b/>
                <w:color w:val="FFFFFF"/>
                <w:sz w:val="18"/>
              </w:rPr>
              <w:t>Total Samples Tested</w:t>
            </w:r>
          </w:p>
        </w:tc>
        <w:tc>
          <w:tcPr>
            <w:tcW w:w="2340" w:type="dxa"/>
            <w:tcBorders/>
            <w:shd w:fill="0F172A" w:val="clear"/>
          </w:tcPr>
          <w:p>
            <w:pPr>
              <w:pStyle w:val="Normal"/>
              <w:spacing w:before="0" w:after="0"/>
              <w:rPr/>
            </w:pPr>
            <w:r>
              <w:rPr>
                <w:rFonts w:ascii="Calibri" w:hAnsi="Calibri"/>
                <w:b/>
                <w:color w:val="FFFFFF"/>
                <w:sz w:val="18"/>
              </w:rPr>
              <w:t>Correct AI Verdicts</w:t>
            </w:r>
          </w:p>
        </w:tc>
        <w:tc>
          <w:tcPr>
            <w:tcW w:w="2340" w:type="dxa"/>
            <w:tcBorders/>
            <w:shd w:fill="0F172A" w:val="clear"/>
          </w:tcPr>
          <w:p>
            <w:pPr>
              <w:pStyle w:val="Normal"/>
              <w:spacing w:before="0" w:after="0"/>
              <w:rPr/>
            </w:pPr>
            <w:r>
              <w:rPr>
                <w:rFonts w:ascii="Calibri" w:hAnsi="Calibri"/>
                <w:b/>
                <w:color w:val="FFFFFF"/>
                <w:sz w:val="18"/>
              </w:rPr>
              <w:t>Empirical Accuracy (%)</w:t>
            </w:r>
          </w:p>
        </w:tc>
      </w:tr>
      <w:tr>
        <w:trPr/>
        <w:tc>
          <w:tcPr>
            <w:tcW w:w="2340" w:type="dxa"/>
            <w:tcBorders>
              <w:top w:val="single" w:sz="4" w:space="0" w:color="CBD5E1"/>
              <w:bottom w:val="single" w:sz="4" w:space="0" w:color="CBD5E1"/>
            </w:tcBorders>
            <w:shd w:fill="FFFFFF" w:val="clear"/>
            <w:tcMar>
              <w:top w:w="80" w:type="dxa"/>
              <w:bottom w:w="80" w:type="dxa"/>
            </w:tcMar>
          </w:tcPr>
          <w:p>
            <w:pPr>
              <w:pStyle w:val="Normal"/>
              <w:spacing w:before="0" w:after="0"/>
              <w:rPr/>
            </w:pPr>
            <w:r>
              <w:rPr>
                <w:rFonts w:ascii="Calibri" w:hAnsi="Calibri"/>
                <w:color w:val="334155"/>
                <w:sz w:val="18"/>
              </w:rPr>
              <w:t>Genuine Physical Road Hazards</w:t>
            </w:r>
          </w:p>
        </w:tc>
        <w:tc>
          <w:tcPr>
            <w:tcW w:w="2340" w:type="dxa"/>
            <w:tcBorders>
              <w:top w:val="single" w:sz="4" w:space="0" w:color="CBD5E1"/>
              <w:bottom w:val="single" w:sz="4" w:space="0" w:color="CBD5E1"/>
            </w:tcBorders>
            <w:shd w:fill="FFFFFF" w:val="clear"/>
            <w:tcMar>
              <w:top w:w="80" w:type="dxa"/>
              <w:bottom w:w="80" w:type="dxa"/>
            </w:tcMar>
          </w:tcPr>
          <w:p>
            <w:pPr>
              <w:pStyle w:val="Normal"/>
              <w:spacing w:before="0" w:after="0"/>
              <w:rPr/>
            </w:pPr>
            <w:r>
              <w:rPr>
                <w:rFonts w:ascii="Calibri" w:hAnsi="Calibri"/>
                <w:color w:val="334155"/>
                <w:sz w:val="18"/>
              </w:rPr>
              <w:t>200</w:t>
            </w:r>
          </w:p>
        </w:tc>
        <w:tc>
          <w:tcPr>
            <w:tcW w:w="2340" w:type="dxa"/>
            <w:tcBorders>
              <w:top w:val="single" w:sz="4" w:space="0" w:color="CBD5E1"/>
              <w:bottom w:val="single" w:sz="4" w:space="0" w:color="CBD5E1"/>
            </w:tcBorders>
            <w:shd w:fill="FFFFFF" w:val="clear"/>
            <w:tcMar>
              <w:top w:w="80" w:type="dxa"/>
              <w:bottom w:w="80" w:type="dxa"/>
            </w:tcMar>
          </w:tcPr>
          <w:p>
            <w:pPr>
              <w:pStyle w:val="Normal"/>
              <w:spacing w:before="0" w:after="0"/>
              <w:rPr/>
            </w:pPr>
            <w:r>
              <w:rPr>
                <w:rFonts w:ascii="Calibri" w:hAnsi="Calibri"/>
                <w:color w:val="334155"/>
                <w:sz w:val="18"/>
              </w:rPr>
              <w:t>197 Passed</w:t>
            </w:r>
          </w:p>
        </w:tc>
        <w:tc>
          <w:tcPr>
            <w:tcW w:w="2340" w:type="dxa"/>
            <w:tcBorders>
              <w:top w:val="single" w:sz="4" w:space="0" w:color="CBD5E1"/>
              <w:bottom w:val="single" w:sz="4" w:space="0" w:color="CBD5E1"/>
            </w:tcBorders>
            <w:shd w:fill="FFFFFF" w:val="clear"/>
            <w:tcMar>
              <w:top w:w="80" w:type="dxa"/>
              <w:bottom w:w="80" w:type="dxa"/>
            </w:tcMar>
          </w:tcPr>
          <w:p>
            <w:pPr>
              <w:pStyle w:val="Normal"/>
              <w:spacing w:before="0" w:after="0"/>
              <w:rPr/>
            </w:pPr>
            <w:r>
              <w:rPr>
                <w:rFonts w:ascii="Calibri" w:hAnsi="Calibri"/>
                <w:b/>
                <w:color w:val="059669"/>
                <w:sz w:val="18"/>
              </w:rPr>
              <w:t>98.5%</w:t>
            </w:r>
          </w:p>
        </w:tc>
      </w:tr>
      <w:tr>
        <w:trPr/>
        <w:tc>
          <w:tcPr>
            <w:tcW w:w="2340" w:type="dxa"/>
            <w:tcBorders>
              <w:top w:val="single" w:sz="4" w:space="0" w:color="CBD5E1"/>
              <w:bottom w:val="single" w:sz="4" w:space="0" w:color="CBD5E1"/>
            </w:tcBorders>
            <w:shd w:fill="F8FAFC" w:val="clear"/>
            <w:tcMar>
              <w:top w:w="80" w:type="dxa"/>
              <w:bottom w:w="80" w:type="dxa"/>
            </w:tcMar>
          </w:tcPr>
          <w:p>
            <w:pPr>
              <w:pStyle w:val="Normal"/>
              <w:spacing w:before="0" w:after="0"/>
              <w:rPr/>
            </w:pPr>
            <w:r>
              <w:rPr>
                <w:rFonts w:ascii="Calibri" w:hAnsi="Calibri"/>
                <w:color w:val="334155"/>
                <w:sz w:val="18"/>
              </w:rPr>
              <w:t>Synthetic Generative AI Fakes</w:t>
            </w:r>
          </w:p>
        </w:tc>
        <w:tc>
          <w:tcPr>
            <w:tcW w:w="2340" w:type="dxa"/>
            <w:tcBorders>
              <w:top w:val="single" w:sz="4" w:space="0" w:color="CBD5E1"/>
              <w:bottom w:val="single" w:sz="4" w:space="0" w:color="CBD5E1"/>
            </w:tcBorders>
            <w:shd w:fill="F8FAFC" w:val="clear"/>
            <w:tcMar>
              <w:top w:w="80" w:type="dxa"/>
              <w:bottom w:w="80" w:type="dxa"/>
            </w:tcMar>
          </w:tcPr>
          <w:p>
            <w:pPr>
              <w:pStyle w:val="Normal"/>
              <w:spacing w:before="0" w:after="0"/>
              <w:rPr/>
            </w:pPr>
            <w:r>
              <w:rPr>
                <w:rFonts w:ascii="Calibri" w:hAnsi="Calibri"/>
                <w:color w:val="334155"/>
                <w:sz w:val="18"/>
              </w:rPr>
              <w:t>100</w:t>
            </w:r>
          </w:p>
        </w:tc>
        <w:tc>
          <w:tcPr>
            <w:tcW w:w="2340" w:type="dxa"/>
            <w:tcBorders>
              <w:top w:val="single" w:sz="4" w:space="0" w:color="CBD5E1"/>
              <w:bottom w:val="single" w:sz="4" w:space="0" w:color="CBD5E1"/>
            </w:tcBorders>
            <w:shd w:fill="F8FAFC" w:val="clear"/>
            <w:tcMar>
              <w:top w:w="80" w:type="dxa"/>
              <w:bottom w:w="80" w:type="dxa"/>
            </w:tcMar>
          </w:tcPr>
          <w:p>
            <w:pPr>
              <w:pStyle w:val="Normal"/>
              <w:spacing w:before="0" w:after="0"/>
              <w:rPr/>
            </w:pPr>
            <w:r>
              <w:rPr>
                <w:rFonts w:ascii="Calibri" w:hAnsi="Calibri"/>
                <w:color w:val="334155"/>
                <w:sz w:val="18"/>
              </w:rPr>
              <w:t>100 Blocked</w:t>
            </w:r>
          </w:p>
        </w:tc>
        <w:tc>
          <w:tcPr>
            <w:tcW w:w="2340" w:type="dxa"/>
            <w:tcBorders>
              <w:top w:val="single" w:sz="4" w:space="0" w:color="CBD5E1"/>
              <w:bottom w:val="single" w:sz="4" w:space="0" w:color="CBD5E1"/>
            </w:tcBorders>
            <w:shd w:fill="F8FAFC" w:val="clear"/>
            <w:tcMar>
              <w:top w:w="80" w:type="dxa"/>
              <w:bottom w:w="80" w:type="dxa"/>
            </w:tcMar>
          </w:tcPr>
          <w:p>
            <w:pPr>
              <w:pStyle w:val="Normal"/>
              <w:spacing w:before="0" w:after="0"/>
              <w:rPr/>
            </w:pPr>
            <w:r>
              <w:rPr>
                <w:rFonts w:ascii="Calibri" w:hAnsi="Calibri"/>
                <w:b/>
                <w:color w:val="059669"/>
                <w:sz w:val="18"/>
              </w:rPr>
              <w:t>100.0%</w:t>
            </w:r>
          </w:p>
        </w:tc>
      </w:tr>
      <w:tr>
        <w:trPr/>
        <w:tc>
          <w:tcPr>
            <w:tcW w:w="2340" w:type="dxa"/>
            <w:tcBorders>
              <w:top w:val="single" w:sz="4" w:space="0" w:color="CBD5E1"/>
              <w:bottom w:val="single" w:sz="4" w:space="0" w:color="CBD5E1"/>
            </w:tcBorders>
            <w:shd w:fill="FFFFFF" w:val="clear"/>
            <w:tcMar>
              <w:top w:w="80" w:type="dxa"/>
              <w:bottom w:w="80" w:type="dxa"/>
            </w:tcMar>
          </w:tcPr>
          <w:p>
            <w:pPr>
              <w:pStyle w:val="Normal"/>
              <w:spacing w:before="0" w:after="0"/>
              <w:rPr/>
            </w:pPr>
            <w:r>
              <w:rPr>
                <w:rFonts w:ascii="Calibri" w:hAnsi="Calibri"/>
                <w:color w:val="334155"/>
                <w:sz w:val="18"/>
              </w:rPr>
              <w:t>Domestic Pets &amp; Human Selfies</w:t>
            </w:r>
          </w:p>
        </w:tc>
        <w:tc>
          <w:tcPr>
            <w:tcW w:w="2340" w:type="dxa"/>
            <w:tcBorders>
              <w:top w:val="single" w:sz="4" w:space="0" w:color="CBD5E1"/>
              <w:bottom w:val="single" w:sz="4" w:space="0" w:color="CBD5E1"/>
            </w:tcBorders>
            <w:shd w:fill="FFFFFF" w:val="clear"/>
            <w:tcMar>
              <w:top w:w="80" w:type="dxa"/>
              <w:bottom w:w="80" w:type="dxa"/>
            </w:tcMar>
          </w:tcPr>
          <w:p>
            <w:pPr>
              <w:pStyle w:val="Normal"/>
              <w:spacing w:before="0" w:after="0"/>
              <w:rPr/>
            </w:pPr>
            <w:r>
              <w:rPr>
                <w:rFonts w:ascii="Calibri" w:hAnsi="Calibri"/>
                <w:color w:val="334155"/>
                <w:sz w:val="18"/>
              </w:rPr>
              <w:t>100</w:t>
            </w:r>
          </w:p>
        </w:tc>
        <w:tc>
          <w:tcPr>
            <w:tcW w:w="2340" w:type="dxa"/>
            <w:tcBorders>
              <w:top w:val="single" w:sz="4" w:space="0" w:color="CBD5E1"/>
              <w:bottom w:val="single" w:sz="4" w:space="0" w:color="CBD5E1"/>
            </w:tcBorders>
            <w:shd w:fill="FFFFFF" w:val="clear"/>
            <w:tcMar>
              <w:top w:w="80" w:type="dxa"/>
              <w:bottom w:w="80" w:type="dxa"/>
            </w:tcMar>
          </w:tcPr>
          <w:p>
            <w:pPr>
              <w:pStyle w:val="Normal"/>
              <w:spacing w:before="0" w:after="0"/>
              <w:rPr/>
            </w:pPr>
            <w:r>
              <w:rPr>
                <w:rFonts w:ascii="Calibri" w:hAnsi="Calibri"/>
                <w:color w:val="334155"/>
                <w:sz w:val="18"/>
              </w:rPr>
              <w:t>99 Blocked</w:t>
            </w:r>
          </w:p>
        </w:tc>
        <w:tc>
          <w:tcPr>
            <w:tcW w:w="2340" w:type="dxa"/>
            <w:tcBorders>
              <w:top w:val="single" w:sz="4" w:space="0" w:color="CBD5E1"/>
              <w:bottom w:val="single" w:sz="4" w:space="0" w:color="CBD5E1"/>
            </w:tcBorders>
            <w:shd w:fill="FFFFFF" w:val="clear"/>
            <w:tcMar>
              <w:top w:w="80" w:type="dxa"/>
              <w:bottom w:w="80" w:type="dxa"/>
            </w:tcMar>
          </w:tcPr>
          <w:p>
            <w:pPr>
              <w:pStyle w:val="Normal"/>
              <w:spacing w:before="0" w:after="0"/>
              <w:rPr/>
            </w:pPr>
            <w:r>
              <w:rPr>
                <w:rFonts w:ascii="Calibri" w:hAnsi="Calibri"/>
                <w:b/>
                <w:color w:val="059669"/>
                <w:sz w:val="18"/>
              </w:rPr>
              <w:t>99.0%</w:t>
            </w:r>
          </w:p>
        </w:tc>
      </w:tr>
      <w:tr>
        <w:trPr/>
        <w:tc>
          <w:tcPr>
            <w:tcW w:w="2340" w:type="dxa"/>
            <w:tcBorders>
              <w:top w:val="single" w:sz="4" w:space="0" w:color="CBD5E1"/>
              <w:bottom w:val="single" w:sz="4" w:space="0" w:color="CBD5E1"/>
            </w:tcBorders>
            <w:shd w:fill="F8FAFC" w:val="clear"/>
            <w:tcMar>
              <w:top w:w="80" w:type="dxa"/>
              <w:bottom w:w="80" w:type="dxa"/>
            </w:tcMar>
          </w:tcPr>
          <w:p>
            <w:pPr>
              <w:pStyle w:val="Normal"/>
              <w:spacing w:before="0" w:after="0"/>
              <w:rPr/>
            </w:pPr>
            <w:r>
              <w:rPr>
                <w:rFonts w:ascii="Calibri" w:hAnsi="Calibri"/>
                <w:color w:val="334155"/>
                <w:sz w:val="18"/>
              </w:rPr>
              <w:t>Indoor Rooms &amp; Domestic Furniture</w:t>
            </w:r>
          </w:p>
        </w:tc>
        <w:tc>
          <w:tcPr>
            <w:tcW w:w="2340" w:type="dxa"/>
            <w:tcBorders>
              <w:top w:val="single" w:sz="4" w:space="0" w:color="CBD5E1"/>
              <w:bottom w:val="single" w:sz="4" w:space="0" w:color="CBD5E1"/>
            </w:tcBorders>
            <w:shd w:fill="F8FAFC" w:val="clear"/>
            <w:tcMar>
              <w:top w:w="80" w:type="dxa"/>
              <w:bottom w:w="80" w:type="dxa"/>
            </w:tcMar>
          </w:tcPr>
          <w:p>
            <w:pPr>
              <w:pStyle w:val="Normal"/>
              <w:spacing w:before="0" w:after="0"/>
              <w:rPr/>
            </w:pPr>
            <w:r>
              <w:rPr>
                <w:rFonts w:ascii="Calibri" w:hAnsi="Calibri"/>
                <w:color w:val="334155"/>
                <w:sz w:val="18"/>
              </w:rPr>
              <w:t>100</w:t>
            </w:r>
          </w:p>
        </w:tc>
        <w:tc>
          <w:tcPr>
            <w:tcW w:w="2340" w:type="dxa"/>
            <w:tcBorders>
              <w:top w:val="single" w:sz="4" w:space="0" w:color="CBD5E1"/>
              <w:bottom w:val="single" w:sz="4" w:space="0" w:color="CBD5E1"/>
            </w:tcBorders>
            <w:shd w:fill="F8FAFC" w:val="clear"/>
            <w:tcMar>
              <w:top w:w="80" w:type="dxa"/>
              <w:bottom w:w="80" w:type="dxa"/>
            </w:tcMar>
          </w:tcPr>
          <w:p>
            <w:pPr>
              <w:pStyle w:val="Normal"/>
              <w:spacing w:before="0" w:after="0"/>
              <w:rPr/>
            </w:pPr>
            <w:r>
              <w:rPr>
                <w:rFonts w:ascii="Calibri" w:hAnsi="Calibri"/>
                <w:color w:val="334155"/>
                <w:sz w:val="18"/>
              </w:rPr>
              <w:t>98 Blocked</w:t>
            </w:r>
          </w:p>
        </w:tc>
        <w:tc>
          <w:tcPr>
            <w:tcW w:w="2340" w:type="dxa"/>
            <w:tcBorders>
              <w:top w:val="single" w:sz="4" w:space="0" w:color="CBD5E1"/>
              <w:bottom w:val="single" w:sz="4" w:space="0" w:color="CBD5E1"/>
            </w:tcBorders>
            <w:shd w:fill="F8FAFC" w:val="clear"/>
            <w:tcMar>
              <w:top w:w="80" w:type="dxa"/>
              <w:bottom w:w="80" w:type="dxa"/>
            </w:tcMar>
          </w:tcPr>
          <w:p>
            <w:pPr>
              <w:pStyle w:val="Normal"/>
              <w:spacing w:before="0" w:after="0"/>
              <w:rPr/>
            </w:pPr>
            <w:r>
              <w:rPr>
                <w:rFonts w:ascii="Calibri" w:hAnsi="Calibri"/>
                <w:b/>
                <w:color w:val="059669"/>
                <w:sz w:val="18"/>
              </w:rPr>
              <w:t>98.0%</w:t>
            </w:r>
          </w:p>
        </w:tc>
      </w:tr>
    </w:tbl>
    <w:p>
      <w:pPr>
        <w:pStyle w:val="Normal"/>
        <w:spacing w:before="280" w:after="80"/>
        <w:rPr/>
      </w:pPr>
      <w:r>
        <w:rPr>
          <w:rFonts w:ascii="Calibri" w:hAnsi="Calibri"/>
          <w:b/>
          <w:color w:val="059669"/>
          <w:sz w:val="27"/>
        </w:rPr>
        <w:t>6.2 Latency, Compute Overhead, and Client-Side Verification Throughput</w:t>
      </w:r>
    </w:p>
    <w:p>
      <w:pPr>
        <w:pStyle w:val="Normal"/>
        <w:spacing w:lineRule="auto" w:line="288" w:before="0" w:after="120"/>
        <w:rPr/>
      </w:pPr>
      <w:r>
        <w:rPr>
          <w:rFonts w:ascii="Calibri" w:hAnsi="Calibri"/>
          <w:i w:val="false"/>
          <w:color w:val="334155"/>
          <w:sz w:val="21"/>
        </w:rPr>
        <w:t>Performance profiling conducted across standard mobile devices (mid-range Android smartphones with 4GB RAM) indicates that the client-side rasterization, Bayer noise extraction, and dimension estimation completes in an average of 420 milliseconds. Serverless API round-trip verification achieves a P95 latency of 780 milliseconds over 4G connections, ensuring that citizens experience immediate visual confirmation without awkward interface stalling.</w:t>
      </w:r>
    </w:p>
    <w:p>
      <w:pPr>
        <w:pStyle w:val="Normal"/>
        <w:spacing w:before="280" w:after="80"/>
        <w:rPr/>
      </w:pPr>
      <w:r>
        <w:rPr>
          <w:rFonts w:ascii="Calibri" w:hAnsi="Calibri"/>
          <w:b/>
          <w:color w:val="059669"/>
          <w:sz w:val="27"/>
        </w:rPr>
        <w:t>6.3 Public Works Turnaround: Contractor Dispatch Time Benchmarking</w:t>
      </w:r>
    </w:p>
    <w:p>
      <w:pPr>
        <w:pStyle w:val="Normal"/>
        <w:spacing w:lineRule="auto" w:line="288" w:before="0" w:after="120"/>
        <w:rPr/>
      </w:pPr>
      <w:r>
        <w:rPr>
          <w:rFonts w:ascii="Calibri" w:hAnsi="Calibri"/>
          <w:i w:val="false"/>
          <w:color w:val="334155"/>
          <w:sz w:val="21"/>
        </w:rPr>
        <w:t>In traditional municipal workflows, the cycle time from citizen complaint submission to contractor work order dispatch averages 4.5 business days (108 hours). With InfraPulse AI, because defects arrive pre-verified with automated severity tiers, geographic coordinates, and calculated repair budgets, administrative officers issue digital work orders in under 12 seconds. Overall end-to-end pothole patching cycle time dropped from 14 days down to 48 hours.</w:t>
      </w:r>
    </w:p>
    <w:p>
      <w:pPr>
        <w:pStyle w:val="Normal"/>
        <w:spacing w:before="360" w:after="160"/>
        <w:rPr/>
      </w:pPr>
      <w:r>
        <w:rPr>
          <w:rFonts w:ascii="Calibri" w:hAnsi="Calibri"/>
          <w:b/>
          <w:color w:val="0F172A"/>
          <w:sz w:val="34"/>
        </w:rPr>
        <w:t>CHAPTER 7: CONCLUSION &amp; STRATEGIC FUTURE ROADMAP</w:t>
      </w:r>
    </w:p>
    <w:p>
      <w:pPr>
        <w:pStyle w:val="Normal"/>
        <w:spacing w:before="0" w:after="160"/>
        <w:rPr/>
      </w:pPr>
      <w:r>
        <w:rPr>
          <w:color w:val="CBD5E1"/>
          <w:sz w:val="16"/>
        </w:rPr>
        <w:t>―――――――――――――――――――――――――――――――――――――――――――――――――――――――</w:t>
      </w:r>
    </w:p>
    <w:p>
      <w:pPr>
        <w:pStyle w:val="Normal"/>
        <w:spacing w:before="280" w:after="80"/>
        <w:rPr/>
      </w:pPr>
      <w:r>
        <w:rPr>
          <w:rFonts w:ascii="Calibri" w:hAnsi="Calibri"/>
          <w:b/>
          <w:color w:val="059669"/>
          <w:sz w:val="27"/>
        </w:rPr>
        <w:t>7.1 Summary of Technical Achievements and Societal Impact</w:t>
      </w:r>
    </w:p>
    <w:p>
      <w:pPr>
        <w:pStyle w:val="Normal"/>
        <w:spacing w:lineRule="auto" w:line="288" w:before="0" w:after="120"/>
        <w:rPr/>
      </w:pPr>
      <w:r>
        <w:rPr>
          <w:rFonts w:ascii="Calibri" w:hAnsi="Calibri"/>
          <w:i w:val="false"/>
          <w:color w:val="334155"/>
          <w:sz w:val="21"/>
        </w:rPr>
        <w:t>InfraPulse AI demonstrates that modern computer vision and intelligent workflow automation can fundamentally revitalize public infrastructure governance. By enforcing mathematical optical anti-spoofing at the camera edge, eliminating administrative triage backlogs, providing transparent geospatial oversight, and automating contractor dispatch and communication, the platform transforms ordinary citizens into empowered civic scouts while giving municipal administrators unprecedented situational awareness.</w:t>
      </w:r>
    </w:p>
    <w:p>
      <w:pPr>
        <w:pStyle w:val="Normal"/>
        <w:spacing w:before="280" w:after="80"/>
        <w:rPr/>
      </w:pPr>
      <w:r>
        <w:rPr>
          <w:rFonts w:ascii="Calibri" w:hAnsi="Calibri"/>
          <w:b/>
          <w:color w:val="059669"/>
          <w:sz w:val="27"/>
        </w:rPr>
        <w:t>7.2 Vehicle-Mounted Mobile Edge Camera Scanning</w:t>
      </w:r>
    </w:p>
    <w:p>
      <w:pPr>
        <w:pStyle w:val="Normal"/>
        <w:spacing w:lineRule="auto" w:line="288" w:before="0" w:after="120"/>
        <w:rPr/>
      </w:pPr>
      <w:r>
        <w:rPr>
          <w:rFonts w:ascii="Calibri" w:hAnsi="Calibri"/>
          <w:i w:val="false"/>
          <w:color w:val="334155"/>
          <w:sz w:val="21"/>
        </w:rPr>
        <w:t>The next evolutionary phase involves mounting InfraPulse AI vision modules onto public transit buses and municipal waste collection vehicles. As these municipal vehicles travel their daily designated routes across the city, edge compute devices (NVIDIA Jetson Orin Nano) will continuously scan the roadway, automatically logging newly developing cracks and subsidence before they degrade into hazardous craters.</w:t>
      </w:r>
    </w:p>
    <w:p>
      <w:pPr>
        <w:pStyle w:val="Normal"/>
        <w:spacing w:before="280" w:after="80"/>
        <w:rPr/>
      </w:pPr>
      <w:r>
        <w:rPr>
          <w:rFonts w:ascii="Calibri" w:hAnsi="Calibri"/>
          <w:b/>
          <w:color w:val="059669"/>
          <w:sz w:val="27"/>
        </w:rPr>
        <w:t>7.3 Autonomous Municipal Drone Patrols &amp; Thermal Inspection</w:t>
      </w:r>
    </w:p>
    <w:p>
      <w:pPr>
        <w:pStyle w:val="Normal"/>
        <w:spacing w:lineRule="auto" w:line="288" w:before="0" w:after="120"/>
        <w:rPr/>
      </w:pPr>
      <w:r>
        <w:rPr>
          <w:rFonts w:ascii="Calibri" w:hAnsi="Calibri"/>
          <w:i w:val="false"/>
          <w:color w:val="334155"/>
          <w:sz w:val="21"/>
        </w:rPr>
        <w:t>Integration with autonomous municipal drone squadrons equipped with dual RGB and Thermal FLIR cameras will enable post-monsoon roadway mapping. Thermal differentials will detect subsurface water accumulation under asphalt before visible road collapse occurs, enabling truly preventive civil engineering.</w:t>
      </w:r>
    </w:p>
    <w:p>
      <w:pPr>
        <w:pStyle w:val="Normal"/>
        <w:spacing w:before="360" w:after="160"/>
        <w:rPr/>
      </w:pPr>
      <w:r>
        <w:rPr>
          <w:rFonts w:ascii="Calibri" w:hAnsi="Calibri"/>
          <w:b/>
          <w:color w:val="0F172A"/>
          <w:sz w:val="34"/>
        </w:rPr>
        <w:t>REFERENCES &amp; APPENDIX DOCUMENTATION</w:t>
      </w:r>
    </w:p>
    <w:p>
      <w:pPr>
        <w:pStyle w:val="Normal"/>
        <w:spacing w:before="0" w:after="160"/>
        <w:rPr/>
      </w:pPr>
      <w:r>
        <w:rPr>
          <w:color w:val="CBD5E1"/>
          <w:sz w:val="16"/>
        </w:rPr>
        <w:t>―――――――――――――――――――――――――――――――――――――――――――――――――――――――</w:t>
      </w:r>
    </w:p>
    <w:p>
      <w:pPr>
        <w:pStyle w:val="Normal"/>
        <w:spacing w:lineRule="auto" w:line="276" w:before="0" w:after="80"/>
        <w:rPr/>
      </w:pPr>
      <w:r>
        <w:rPr>
          <w:rFonts w:ascii="Calibri" w:hAnsi="Calibri"/>
          <w:color w:val="475569"/>
          <w:sz w:val="19"/>
        </w:rPr>
        <w:t>1. Ministry of Road Transport and Highways (MoRTH), Government of India. 'Road Accidents in India - Annual Statistical Report', 2024–2025.</w:t>
      </w:r>
    </w:p>
    <w:p>
      <w:pPr>
        <w:pStyle w:val="Normal"/>
        <w:spacing w:lineRule="auto" w:line="276" w:before="0" w:after="80"/>
        <w:rPr/>
      </w:pPr>
      <w:r>
        <w:rPr>
          <w:rFonts w:ascii="Calibri" w:hAnsi="Calibri"/>
          <w:color w:val="475569"/>
          <w:sz w:val="19"/>
        </w:rPr>
        <w:t>2. Maeda, H., Sekimoto, Y., Seto, T., Kashiyama, T., &amp; Omata, H. 'Road Damage Detection and Classification Using Deep Neural Networks with Smartphone Images'. Computer-Aided Civil and Infrastructure Engineering, 33(12), 1127-1141.</w:t>
      </w:r>
    </w:p>
    <w:p>
      <w:pPr>
        <w:pStyle w:val="Normal"/>
        <w:spacing w:lineRule="auto" w:line="276" w:before="0" w:after="80"/>
        <w:rPr/>
      </w:pPr>
      <w:r>
        <w:rPr>
          <w:rFonts w:ascii="Calibri" w:hAnsi="Calibri"/>
          <w:color w:val="475569"/>
          <w:sz w:val="19"/>
        </w:rPr>
        <w:t>3. Goodfellow, I., Pouget-Abadie, J., et al. 'Generative Adversarial Nets' &amp; Advances in Latent Diffusion Models for Synthetic Visual Forensics.</w:t>
      </w:r>
    </w:p>
    <w:p>
      <w:pPr>
        <w:pStyle w:val="Normal"/>
        <w:spacing w:lineRule="auto" w:line="276" w:before="0" w:after="80"/>
        <w:rPr/>
      </w:pPr>
      <w:r>
        <w:rPr>
          <w:rFonts w:ascii="Calibri" w:hAnsi="Calibri"/>
          <w:color w:val="475569"/>
          <w:sz w:val="19"/>
        </w:rPr>
        <w:t>4. Lukac, R. 'Single-Sensor Imaging: Methods and Applications for Digital Cameras' (Bayer Filter Demosaicing and Sensor Noise Models), CRC Press.</w:t>
      </w:r>
    </w:p>
    <w:p>
      <w:pPr>
        <w:pStyle w:val="Normal"/>
        <w:spacing w:lineRule="auto" w:line="276" w:before="0" w:after="80"/>
        <w:rPr/>
      </w:pPr>
      <w:r>
        <w:rPr>
          <w:rFonts w:ascii="Calibri" w:hAnsi="Calibri"/>
          <w:color w:val="475569"/>
          <w:sz w:val="19"/>
        </w:rPr>
        <w:t>5. Tamil Nadu Municipal Corporations Act, Guidelines on Public Works Engineering and Citizen Charter Redressal Timelines, 2024.</w:t>
      </w:r>
    </w:p>
    <w:p>
      <w:pPr>
        <w:pStyle w:val="Normal"/>
        <w:spacing w:lineRule="auto" w:line="276" w:before="0" w:after="80"/>
        <w:rPr/>
      </w:pPr>
      <w:r>
        <w:rPr>
          <w:rFonts w:ascii="Calibri" w:hAnsi="Calibri"/>
          <w:color w:val="475569"/>
          <w:sz w:val="19"/>
        </w:rPr>
        <w:t>6. Next.js Documentation &amp; Architectural Guidelines for Scalable React 19 Applications, Vercel Inc., 2026.</w:t>
      </w:r>
    </w:p>
    <w:p>
      <w:pPr>
        <w:pStyle w:val="Normal"/>
        <w:spacing w:lineRule="auto" w:line="276" w:before="0" w:after="80"/>
        <w:rPr/>
      </w:pPr>
      <w:r>
        <w:rPr>
          <w:rFonts w:ascii="Calibri" w:hAnsi="Calibri"/>
          <w:color w:val="475569"/>
          <w:sz w:val="19"/>
        </w:rPr>
        <w:t>7. Supabase Architecture: Scalable PostgreSQL with Row-Level Security and Realtime Engine, 2026.</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Noto Sans Devanagari"/>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LibreOffice/26.8.1.1$Linux_X86_64 LibreOffice_project/680$Build-1</Application>
  <AppVersion>15.0000</AppVersion>
  <Pages>5</Pages>
  <Words>3830</Words>
  <Characters>25405</Characters>
  <CharactersWithSpaces>29087</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2026-10-13T23:43:47Z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