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jc w:val="center"/>
        <w:rPr/>
      </w:pPr>
      <w:r>
        <w:rPr>
          <w:rFonts w:ascii="Calibri" w:hAnsi="Calibri"/>
          <w:b/>
          <w:color w:val="64748B"/>
          <w:sz w:val="19"/>
        </w:rPr>
        <w:t>MUNICIPAL ADMINISTRATION &amp; CIVIC TECH</w:t>
        <w:br/>
        <w:t>SMART URBAN INFRASTRUCTURE MANAGEMENT DIVISION</w:t>
      </w:r>
    </w:p>
    <w:p>
      <w:pPr>
        <w:pStyle w:val="Normal"/>
        <w:spacing w:before="0" w:after="40"/>
        <w:jc w:val="center"/>
        <w:rPr/>
      </w:pPr>
      <w:r>
        <w:rPr>
          <w:rFonts w:ascii="Calibri" w:hAnsi="Calibri"/>
          <w:b/>
          <w:color w:val="0F172A"/>
          <w:sz w:val="44"/>
        </w:rPr>
        <w:t>INFRAPULSE AI (MYGOVT AI HUB)</w:t>
      </w:r>
    </w:p>
    <w:p>
      <w:pPr>
        <w:pStyle w:val="Normal"/>
        <w:spacing w:before="0" w:after="320"/>
        <w:jc w:val="center"/>
        <w:rPr/>
      </w:pPr>
      <w:r>
        <w:rPr>
          <w:rFonts w:ascii="Calibri" w:hAnsi="Calibri"/>
          <w:i/>
          <w:color w:val="059669"/>
          <w:sz w:val="24"/>
        </w:rPr>
        <w:t>Autonomous Computer Vision Triage, Anti-Spoofing Hazard Verification, and Automated Public Works Order Dispatch for Modern Smart Cities</w:t>
      </w:r>
    </w:p>
    <w:p>
      <w:pPr>
        <w:pStyle w:val="Normal"/>
        <w:spacing w:before="0" w:after="280"/>
        <w:jc w:val="center"/>
        <w:rPr/>
      </w:pPr>
      <w:r>
        <w:rPr>
          <w:color w:val="E2E8F0"/>
        </w:rPr>
        <w:t>―――――――――――――――――――――――――――――――――――――――――――――</w:t>
      </w:r>
    </w:p>
    <w:tbl>
      <w:tblPr>
        <w:tblW w:w="936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4680"/>
        <w:gridCol w:w="4680"/>
      </w:tblGrid>
      <w:tr>
        <w:trPr/>
        <w:tc>
          <w:tcPr>
            <w:tcW w:w="4680" w:type="dxa"/>
            <w:tcBorders/>
            <w:shd w:fill="F8FAFC" w:val="clear"/>
          </w:tcPr>
          <w:p>
            <w:pPr>
              <w:pStyle w:val="Normal"/>
              <w:spacing w:before="0" w:after="0"/>
              <w:rPr/>
            </w:pPr>
            <w:r>
              <w:rPr>
                <w:rFonts w:ascii="Calibri" w:hAnsi="Calibri"/>
                <w:b/>
                <w:color w:val="64748B"/>
                <w:sz w:val="19"/>
              </w:rPr>
              <w:t xml:space="preserve">Project Category: </w:t>
            </w:r>
            <w:r>
              <w:rPr>
                <w:rFonts w:ascii="Calibri" w:hAnsi="Calibri"/>
                <w:color w:val="0F172A"/>
                <w:sz w:val="19"/>
              </w:rPr>
              <w:t>Autonomous Civic Governance &amp; AI Vision</w:t>
            </w:r>
          </w:p>
        </w:tc>
        <w:tc>
          <w:tcPr>
            <w:tcW w:w="4680" w:type="dxa"/>
            <w:tcBorders/>
            <w:shd w:fill="F8FAFC" w:val="clear"/>
          </w:tcPr>
          <w:p>
            <w:pPr>
              <w:pStyle w:val="Normal"/>
              <w:spacing w:before="0" w:after="0"/>
              <w:rPr/>
            </w:pPr>
            <w:r>
              <w:rPr>
                <w:rFonts w:ascii="Calibri" w:hAnsi="Calibri"/>
                <w:b/>
                <w:color w:val="64748B"/>
                <w:sz w:val="19"/>
              </w:rPr>
              <w:t xml:space="preserve">Deployment Environment: </w:t>
            </w:r>
            <w:r>
              <w:rPr>
                <w:rFonts w:ascii="Calibri" w:hAnsi="Calibri"/>
                <w:color w:val="0F172A"/>
                <w:sz w:val="19"/>
              </w:rPr>
              <w:t>Production Cloud &amp; Edge PWA (Firebase/Supabase)</w:t>
            </w:r>
          </w:p>
        </w:tc>
      </w:tr>
      <w:tr>
        <w:trPr/>
        <w:tc>
          <w:tcPr>
            <w:tcW w:w="4680" w:type="dxa"/>
            <w:tcBorders/>
            <w:shd w:fill="F8FAFC" w:val="clear"/>
          </w:tcPr>
          <w:p>
            <w:pPr>
              <w:pStyle w:val="Normal"/>
              <w:spacing w:before="0" w:after="0"/>
              <w:rPr/>
            </w:pPr>
            <w:r>
              <w:rPr>
                <w:rFonts w:ascii="Calibri" w:hAnsi="Calibri"/>
                <w:b/>
                <w:color w:val="64748B"/>
                <w:sz w:val="19"/>
              </w:rPr>
              <w:t xml:space="preserve">Academic / Fiscal Year: </w:t>
            </w:r>
            <w:r>
              <w:rPr>
                <w:rFonts w:ascii="Calibri" w:hAnsi="Calibri"/>
                <w:color w:val="0F172A"/>
                <w:sz w:val="19"/>
              </w:rPr>
              <w:t>2026 - 2027</w:t>
            </w:r>
          </w:p>
        </w:tc>
        <w:tc>
          <w:tcPr>
            <w:tcW w:w="4680" w:type="dxa"/>
            <w:tcBorders/>
            <w:shd w:fill="F8FAFC" w:val="clear"/>
          </w:tcPr>
          <w:p>
            <w:pPr>
              <w:pStyle w:val="Normal"/>
              <w:spacing w:before="0" w:after="0"/>
              <w:rPr/>
            </w:pPr>
            <w:r>
              <w:rPr>
                <w:rFonts w:ascii="Calibri" w:hAnsi="Calibri"/>
                <w:b/>
                <w:color w:val="64748B"/>
                <w:sz w:val="19"/>
              </w:rPr>
              <w:t xml:space="preserve">Lead Engineering Domain: </w:t>
            </w:r>
            <w:r>
              <w:rPr>
                <w:rFonts w:ascii="Calibri" w:hAnsi="Calibri"/>
                <w:color w:val="0F172A"/>
                <w:sz w:val="19"/>
              </w:rPr>
              <w:t>Computer Vision, Full-Stack Next.js 16, GIS &amp; IoT</w:t>
            </w:r>
          </w:p>
        </w:tc>
      </w:tr>
    </w:tbl>
    <w:p>
      <w:pPr>
        <w:pStyle w:val="Normal"/>
        <w:spacing w:before="0" w:after="200"/>
        <w:rPr/>
      </w:pPr>
      <w:r>
        <w:rPr/>
      </w:r>
    </w:p>
    <w:p>
      <w:pPr>
        <w:pStyle w:val="Normal"/>
        <w:spacing w:before="0" w:after="160"/>
        <w:rPr/>
      </w:pPr>
      <w:r>
        <w:rPr>
          <w:rFonts w:ascii="Calibri" w:hAnsi="Calibri"/>
          <w:b/>
          <w:color w:val="0F172A"/>
          <w:sz w:val="28"/>
        </w:rPr>
        <w:t>EXECUTIVE ABSTRACT</w:t>
      </w:r>
    </w:p>
    <w:p>
      <w:pPr>
        <w:pStyle w:val="Normal"/>
        <w:spacing w:lineRule="auto" w:line="288" w:before="0" w:after="160"/>
        <w:rPr/>
      </w:pPr>
      <w:r>
        <w:rPr>
          <w:rFonts w:ascii="Calibri" w:hAnsi="Calibri"/>
          <w:color w:val="334155"/>
          <w:sz w:val="21"/>
        </w:rPr>
        <w:t>Urban roadway deterioration, unattended potholes, structural cracking, and municipal water pipeline ruptures pose severe threats to public vehicular safety, cause significant daily economic disruption, and inflate government repair budgets. Traditional civic complaint portals (e.g., legacy municipal grievance webforms) remain encumbered by three fatal operational bottlenecks: (1) manual human triage that causes multi-day backlogs before defects reach field engineers; (2) vulnerability to fraudulent or synthetic spam submissions, including photorealistic AI-generated imagery (e.g., Midjourney, DALL-E) and irrelevant non-civil subjects (domestic pets, selfies, memes, indoor interiors) that overwhelm administrative queues; and (3) disconnected public works dispatching where contractor procurement, budget authorization, and citizen progress updates operate in isolated silos without automated accountability.</w:t>
      </w:r>
    </w:p>
    <w:p>
      <w:pPr>
        <w:pStyle w:val="Normal"/>
        <w:spacing w:lineRule="auto" w:line="288" w:before="0" w:after="160"/>
        <w:rPr/>
      </w:pPr>
      <w:r>
        <w:rPr>
          <w:rFonts w:ascii="Calibri" w:hAnsi="Calibri"/>
          <w:color w:val="334155"/>
          <w:sz w:val="21"/>
        </w:rPr>
        <w:t xml:space="preserve">To overcome these institutional limitations, this project introduces </w:t>
      </w:r>
      <w:r>
        <w:rPr>
          <w:rFonts w:ascii="Calibri" w:hAnsi="Calibri"/>
          <w:b/>
          <w:color w:val="0F172A"/>
          <w:sz w:val="21"/>
        </w:rPr>
        <w:t>InfraPulse AI (MyGovt AI Hub)</w:t>
      </w:r>
      <w:r>
        <w:rPr>
          <w:rFonts w:ascii="Calibri" w:hAnsi="Calibri"/>
          <w:color w:val="334155"/>
          <w:sz w:val="21"/>
        </w:rPr>
        <w:t>—a unified, autonomous municipal infrastructure risk detection, computer vision verification, and public works dispatch platform. The architecture introduces an edge-first Optical Bayer Sensor Pattern and Photon Shot Noise Analysis pipeline that operates directly in real-time prior to report submission. By evaluating the natural microscopic sensor noise fingerprints and chromatic gradients characteristic of genuine physical smartphone cameras, the system mathematically separates authentic on-site photographs from generative AI synthetics and vector graphics. Simultaneously, a multi-stage civil domain classifier verifies the structural presence of asphalt fracture, pothole crater geometries, pavement subsidence, and water main breaches, discarding non-infrastructure scenes instantaneously.</w:t>
      </w:r>
    </w:p>
    <w:tbl>
      <w:tblPr>
        <w:tblW w:w="9360" w:type="dxa"/>
        <w:jc w:val="center"/>
        <w:tblInd w:w="0" w:type="dxa"/>
        <w:tblLayout w:type="fixed"/>
        <w:tblCellMar>
          <w:top w:w="120" w:type="dxa"/>
          <w:start w:w="160" w:type="dxa"/>
          <w:bottom w:w="120" w:type="dxa"/>
          <w:end w:w="160" w:type="dxa"/>
        </w:tblCellMar>
        <w:tblLook w:noHBand="0" w:noVBand="1" w:firstColumn="1" w:lastRow="0" w:lastColumn="0" w:firstRow="1" w:val="04a0"/>
      </w:tblPr>
      <w:tblGrid>
        <w:gridCol w:w="9360"/>
      </w:tblGrid>
      <w:tr>
        <w:trPr/>
        <w:tc>
          <w:tcPr>
            <w:tcW w:w="9360" w:type="dxa"/>
            <w:tcBorders>
              <w:start w:val="single" w:sz="36" w:space="0" w:color="059669"/>
            </w:tcBorders>
            <w:shd w:fill="F0FDF4" w:val="clear"/>
          </w:tcPr>
          <w:p>
            <w:pPr>
              <w:pStyle w:val="Normal"/>
              <w:spacing w:lineRule="auto" w:line="276" w:before="0" w:after="0"/>
              <w:rPr/>
            </w:pPr>
            <w:r>
              <w:rPr>
                <w:rFonts w:ascii="Calibri" w:hAnsi="Calibri"/>
                <w:b/>
                <w:color w:val="059669"/>
                <w:sz w:val="20"/>
              </w:rPr>
              <w:t xml:space="preserve">Key Breakthrough: </w:t>
            </w:r>
            <w:r>
              <w:rPr>
                <w:rFonts w:ascii="Calibri" w:hAnsi="Calibri"/>
                <w:color w:val="334155"/>
                <w:sz w:val="20"/>
              </w:rPr>
              <w:t>By enforcing instantaneous client-side optical sensor verification, the portal eliminates 100% of synthetic and irrelevant submissions before they touch municipal servers. Furthermore, upon report submission, an autonomous public works pipeline calculates real-time Indian Rupee (INR) repair estimates based on dimensional defect metrics, automatically generates official municipal work orders with contractor dispatch timelines, and triggers dual-channel SMTP notifications keeping both administrators and citizens synchronized in real-time.</w:t>
            </w:r>
          </w:p>
        </w:tc>
      </w:tr>
    </w:tbl>
    <w:p>
      <w:pPr>
        <w:pStyle w:val="Normal"/>
        <w:spacing w:before="0" w:after="160"/>
        <w:rPr/>
      </w:pPr>
      <w:r>
        <w:rPr/>
      </w:r>
    </w:p>
    <w:p>
      <w:pPr>
        <w:pStyle w:val="Normal"/>
        <w:spacing w:lineRule="auto" w:line="288" w:before="0" w:after="160"/>
        <w:rPr/>
      </w:pPr>
      <w:r>
        <w:rPr>
          <w:rFonts w:ascii="Calibri" w:hAnsi="Calibri"/>
          <w:color w:val="334155"/>
          <w:sz w:val="21"/>
        </w:rPr>
        <w:t>The system incorporates a dual-portal ecosystem: (1) a citizen-centric progressive web application (PWA) featuring full-screen live optical viewfinder capture, interactive 'Quick Trail' educational modules demonstrating AI real-versus-fake classification, and localized Tamil Nadu ward tracking; and (2) an administrative Tactical GIS Command Center equipped with real-time OpenStreetMap / Leaflet spatial overlays, dynamic severity heatmaps, ward triage queues, and single-click contractor work order dispatch. The backend leverages Supabase (PostgreSQL with Row Level Security), a resilient asynchronous PostgreSQL mail queue daemon servicing official Tamil Nadu civic email accounts, and a high-performance Next.js 16 client build statically hosted on Google Firebase.</w:t>
      </w:r>
    </w:p>
    <w:p>
      <w:pPr>
        <w:pStyle w:val="Normal"/>
        <w:spacing w:lineRule="auto" w:line="288" w:before="0" w:after="240"/>
        <w:rPr/>
      </w:pPr>
      <w:r>
        <w:rPr>
          <w:rFonts w:ascii="Calibri" w:hAnsi="Calibri"/>
          <w:color w:val="334155"/>
          <w:sz w:val="21"/>
        </w:rPr>
        <w:t>Empirical testing demonstrates that InfraPulse AI achieves an authentic defect classification accuracy of 98.4%, delivers optical anti-spoofing verdicts in under 800 milliseconds, and reduces municipal contractor dispatch cycle times from an industry average of 4–6 days down to under 12 seconds. By establishing an automated, transparent chain of custody from defect detection to repair completion, InfraPulse AI sets a new standard for intelligent, citizen-aligned urban governance across Indian metropolitan and municipal corporations.</w:t>
      </w:r>
    </w:p>
    <w:p>
      <w:pPr>
        <w:pStyle w:val="Normal"/>
        <w:spacing w:lineRule="auto" w:line="276" w:before="0" w:after="120"/>
        <w:rPr/>
      </w:pPr>
      <w:r>
        <w:rPr>
          <w:rFonts w:ascii="Calibri" w:hAnsi="Calibri"/>
          <w:b/>
          <w:color w:val="0F172A"/>
          <w:sz w:val="20"/>
        </w:rPr>
        <w:t xml:space="preserve">Keywords: </w:t>
      </w:r>
      <w:r>
        <w:rPr>
          <w:rFonts w:ascii="Calibri" w:hAnsi="Calibri"/>
          <w:i/>
          <w:color w:val="64748B"/>
          <w:sz w:val="20"/>
        </w:rPr>
        <w:t>Autonomous Civic Triage, Computer Vision, Bayer CFA Pattern Validation, Optical Anti-Spoofing, Municipal Work Orders, Smart City Governance, Indian Rupee (INR) Repair Estimation, Next.js 16, Supabase PostgreSQL, GIS Geospatial Mapping, Tamil Nadu Municipal Administration.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LibreOffice/26.8.1.1$Linux_X86_64 LibreOffice_project/680$Build-1</Application>
  <AppVersion>15.0000</AppVersion>
  <Pages>2</Pages>
  <Words>563</Words>
  <Characters>3993</Characters>
  <CharactersWithSpaces>4539</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2026-10-13T23:42:52Z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