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338CA"/>
          <w:sz w:val="56"/>
        </w:rPr>
        <w:t>B20 EXCHANGE</w:t>
      </w:r>
    </w:p>
    <w:p>
      <w:pPr>
        <w:jc w:val="center"/>
      </w:pPr>
      <w:r>
        <w:rPr>
          <w:i/>
          <w:color w:val="6B7280"/>
          <w:sz w:val="26"/>
        </w:rPr>
        <w:t>Omnibus Ecosystem Audit &amp; Technical Reference</w:t>
      </w:r>
    </w:p>
    <w:p>
      <w:pPr>
        <w:pBdr>
          <w:bottom w:val="single" w:sz="6" w:space="1" w:color="C7D2FE"/>
        </w:pBdr>
      </w:pPr>
    </w:p>
    <w:p/>
    <w:p>
      <w:pPr>
        <w:pStyle w:val="Heading1"/>
      </w:pPr>
      <w:r>
        <w:rPr>
          <w:b/>
          <w:color w:val="312E81"/>
          <w:sz w:val="44"/>
        </w:rPr>
        <w:t>B20 Exchange: Omnibus Ecosystem Audit &amp; Technical Reference</w:t>
      </w:r>
    </w:p>
    <w:p/>
    <w:p/>
    <w:p>
      <w:pPr>
        <w:pStyle w:val="Heading2"/>
      </w:pPr>
      <w:r>
        <w:rPr>
          <w:b/>
          <w:color w:val="4338CA"/>
          <w:sz w:val="32"/>
        </w:rPr>
        <w:t>1. Blockchain &amp; Smart Contract Architecture</w:t>
      </w:r>
    </w:p>
    <w:p/>
    <w:p>
      <w:pPr>
        <w:pStyle w:val="Heading3"/>
      </w:pPr>
      <w:r>
        <w:rPr>
          <w:b/>
          <w:color w:val="1D4ED8"/>
          <w:sz w:val="26"/>
        </w:rPr>
        <w:t>**Core Contract Protocols**</w:t>
      </w:r>
    </w:p>
    <w:p>
      <w:pPr>
        <w:pStyle w:val="ListBullet"/>
      </w:pPr>
      <w:r>
        <w:t>Chain: Binance Smart Chain (Mainnet)</w:t>
      </w:r>
    </w:p>
    <w:p>
      <w:pPr>
        <w:pStyle w:val="ListBullet"/>
      </w:pPr>
      <w:r>
        <w:t>Chain ID: 56</w:t>
      </w:r>
    </w:p>
    <w:p>
      <w:pPr>
        <w:pStyle w:val="ListBullet"/>
      </w:pPr>
      <w:r>
        <w:t>Factory Contract (B20_FACTORY): 0xc4F46f4ee4F48498f8243D63b026d321e5C2aCe2</w:t>
      </w:r>
    </w:p>
    <w:p>
      <w:pPr>
        <w:pStyle w:val="ListBullet2"/>
      </w:pPr>
      <w:r>
        <w:t>*Role:* Deployer for all Standard, Bonding Curve, and Fair Launch tokens.</w:t>
      </w:r>
    </w:p>
    <w:p>
      <w:pPr>
        <w:pStyle w:val="ListBullet2"/>
      </w:pPr>
      <w:r>
        <w:t>*Functions:* createToken, addLiquidityForToken, isLinked(address).</w:t>
      </w:r>
    </w:p>
    <w:p>
      <w:pPr>
        <w:pStyle w:val="ListBullet"/>
      </w:pPr>
      <w:r>
        <w:t>PancakeSwap V2 Router: 0x10ED43C718714eb63d5aA57B78B54704E256024E</w:t>
      </w:r>
    </w:p>
    <w:p>
      <w:pPr>
        <w:pStyle w:val="ListBullet"/>
      </w:pPr>
      <w:r>
        <w:t>WBNB Address: 0xbb4CdB9CBd36B01bD1cBaEBF2De08d9173bc095c</w:t>
      </w:r>
    </w:p>
    <w:p/>
    <w:p>
      <w:pPr>
        <w:pStyle w:val="Heading3"/>
      </w:pPr>
      <w:r>
        <w:rPr>
          <w:b/>
          <w:color w:val="1D4ED8"/>
          <w:sz w:val="26"/>
        </w:rPr>
        <w:t>**ABI Specifications (Condensed)**</w:t>
      </w:r>
    </w:p>
    <w:p>
      <w:pPr>
        <w:pStyle w:val="ListBullet"/>
      </w:pPr>
      <w:r>
        <w:t>Token (ERC20): [ "function approve(address,uint256) returns (bool)", "function allowance(address,address) view returns (uint256)", "function balanceOf(address) view returns (uint256)" ]</w:t>
      </w:r>
    </w:p>
    <w:p>
      <w:pPr>
        <w:pStyle w:val="ListBullet"/>
      </w:pPr>
      <w:r>
        <w:t>PancakeRouter: [ "function swapExactETHForTokens(uint,address[],address,uint) payable", "function swapExactTokensForETH(uint,uint,address[],address,uint)", "function getAmountsOut(uint,address[]) view returns (uint[])" ]</w:t>
      </w:r>
    </w:p>
    <w:p>
      <w:pPr>
        <w:pStyle w:val="ListBullet"/>
      </w:pPr>
      <w:r>
        <w:t>B20_Factory: [ "function addLiquidityForToken(address,uint256) external payable", "function isLinked(address) view returns (bool)" ]</w:t>
      </w:r>
    </w:p>
    <w:p/>
    <w:p>
      <w:pPr>
        <w:pBdr>
          <w:bottom w:val="single" w:sz="6" w:space="1" w:color="C7D2FE"/>
        </w:pBdr>
      </w:pPr>
    </w:p>
    <w:p/>
    <w:p/>
    <w:p>
      <w:pPr>
        <w:pStyle w:val="Heading2"/>
      </w:pPr>
      <w:r>
        <w:rPr>
          <w:b/>
          <w:color w:val="4338CA"/>
          <w:sz w:val="32"/>
        </w:rPr>
        <w:t>2. Wallet &amp; Treasury Infrastructure</w:t>
      </w:r>
    </w:p>
    <w:p/>
    <w:p>
      <w:pPr>
        <w:pStyle w:val="Heading3"/>
      </w:pPr>
      <w:r>
        <w:rPr>
          <w:b/>
          <w:color w:val="1D4ED8"/>
          <w:sz w:val="26"/>
        </w:rPr>
        <w:t>**Institutional Treasury Protocol**</w:t>
      </w:r>
    </w:p>
    <w:p>
      <w:pPr>
        <w:pStyle w:val="ListBullet"/>
      </w:pPr>
      <w:r>
        <w:t>Treasury/Admin Wallet: 0x6451EE4DEf4a8b8FbC2c64301A79e267De378935</w:t>
      </w:r>
    </w:p>
    <w:p>
      <w:pPr>
        <w:pStyle w:val="ListBullet"/>
      </w:pPr>
      <w:r>
        <w:t>Private Key Cache: Located in Backend .env as PRIVATE_KEY.</w:t>
      </w:r>
    </w:p>
    <w:p>
      <w:pPr>
        <w:pStyle w:val="ListBullet"/>
      </w:pPr>
      <w:r>
        <w:t xml:space="preserve">Operational Role: </w:t>
      </w:r>
    </w:p>
    <w:p>
      <w:pPr>
        <w:pStyle w:val="ListBullet2"/>
      </w:pPr>
      <w:r>
        <w:t>Primary receiver for all token deployment service fees.</w:t>
      </w:r>
    </w:p>
    <w:p>
      <w:pPr>
        <w:pStyle w:val="ListBullet2"/>
      </w:pPr>
      <w:r>
        <w:t>Institutional Payout Wallet for all Futures trading profits.</w:t>
      </w:r>
    </w:p>
    <w:p>
      <w:pPr>
        <w:pStyle w:val="ListBullet2"/>
      </w:pPr>
      <w:r>
        <w:t>Authorized agent for TrustWallet PR submissions and BSCScan Verification.</w:t>
      </w:r>
    </w:p>
    <w:p/>
    <w:p>
      <w:pPr>
        <w:pStyle w:val="Heading3"/>
      </w:pPr>
      <w:r>
        <w:rPr>
          <w:b/>
          <w:color w:val="1D4ED8"/>
          <w:sz w:val="26"/>
        </w:rPr>
        <w:t>**Service Fee Structure**</w:t>
      </w:r>
    </w:p>
    <w:p>
      <w:pPr>
        <w:pStyle w:val="ListBullet"/>
      </w:pPr>
      <w:r>
        <w:t>Escrow Service Fee: 0.001 BNB (Spot/Futures Opening).</w:t>
      </w:r>
    </w:p>
    <w:p>
      <w:pPr>
        <w:pStyle w:val="ListBullet"/>
      </w:pPr>
      <w:r>
        <w:t>Standard Token Listing: 0.01 BNB.</w:t>
      </w:r>
    </w:p>
    <w:p>
      <w:pPr>
        <w:pStyle w:val="ListBullet"/>
      </w:pPr>
      <w:r>
        <w:t>Liquidity Migration Fee: 0.003 BNB.</w:t>
      </w:r>
    </w:p>
    <w:p/>
    <w:p>
      <w:pPr>
        <w:pBdr>
          <w:bottom w:val="single" w:sz="6" w:space="1" w:color="C7D2FE"/>
        </w:pBdr>
      </w:pPr>
    </w:p>
    <w:p/>
    <w:p/>
    <w:p>
      <w:pPr>
        <w:pStyle w:val="Heading2"/>
      </w:pPr>
      <w:r>
        <w:rPr>
          <w:b/>
          <w:color w:val="4338CA"/>
          <w:sz w:val="32"/>
        </w:rPr>
        <w:t>3. Backend API &amp; Engine Documentation (REST)</w:t>
      </w:r>
    </w:p>
    <w:p/>
    <w:p>
      <w:pPr>
        <w:pStyle w:val="Heading3"/>
      </w:pPr>
      <w:r>
        <w:rPr>
          <w:b/>
          <w:color w:val="1D4ED8"/>
          <w:sz w:val="26"/>
        </w:rPr>
        <w:t>**Module: Tokens (`/api/tokens`)**</w:t>
      </w:r>
    </w:p>
    <w:p>
      <w:pPr>
        <w:pStyle w:val="ListBullet"/>
      </w:pPr>
      <w:r>
        <w:t>GET /by-wallet/:address - Fetches all assets owned by the connected wallet.</w:t>
      </w:r>
    </w:p>
    <w:p>
      <w:pPr>
        <w:pStyle w:val="ListBullet"/>
      </w:pPr>
      <w:r>
        <w:t>POST /create - Records new on-chain token metadata and IPFS CID.</w:t>
      </w:r>
    </w:p>
    <w:p>
      <w:pPr>
        <w:pStyle w:val="ListBullet"/>
      </w:pPr>
      <w:r>
        <w:t>GET /chart/:address - Aggregates historical price action for terminal displays.</w:t>
      </w:r>
    </w:p>
    <w:p/>
    <w:p>
      <w:pPr>
        <w:pStyle w:val="Heading3"/>
      </w:pPr>
      <w:r>
        <w:rPr>
          <w:b/>
          <w:color w:val="1D4ED8"/>
          <w:sz w:val="26"/>
        </w:rPr>
        <w:t>**Module: Trading Analytics (`/api/wallets`)**</w:t>
      </w:r>
    </w:p>
    <w:p>
      <w:pPr>
        <w:pStyle w:val="ListBullet"/>
      </w:pPr>
      <w:r>
        <w:t>GET /stats/:address - Returns aggregate volume, win-rate, and total PnL.</w:t>
      </w:r>
    </w:p>
    <w:p>
      <w:pPr>
        <w:pStyle w:val="ListBullet"/>
      </w:pPr>
      <w:r>
        <w:t>GET /trades/:address - Fetches the full institutional ledger (Audit Table).</w:t>
      </w:r>
    </w:p>
    <w:p>
      <w:pPr>
        <w:pStyle w:val="ListBullet"/>
      </w:pPr>
      <w:r>
        <w:t>GET /active/:address - Persistent check for unclosed futures positions using position_id.</w:t>
      </w:r>
    </w:p>
    <w:p/>
    <w:p>
      <w:pPr>
        <w:pStyle w:val="Heading3"/>
      </w:pPr>
      <w:r>
        <w:rPr>
          <w:b/>
          <w:color w:val="1D4ED8"/>
          <w:sz w:val="26"/>
        </w:rPr>
        <w:t>**Module: Futures Engine (`/api/futures`)**</w:t>
      </w:r>
    </w:p>
    <w:p>
      <w:pPr>
        <w:pStyle w:val="ListBullet"/>
      </w:pPr>
      <w:r>
        <w:t>POST /settle - Backend treasury payout logic. Verifies PnL and broadcasts real BNB from Treasury to User.</w:t>
      </w:r>
    </w:p>
    <w:p/>
    <w:p>
      <w:pPr>
        <w:pStyle w:val="Heading3"/>
      </w:pPr>
      <w:r>
        <w:rPr>
          <w:b/>
          <w:color w:val="1D4ED8"/>
          <w:sz w:val="26"/>
        </w:rPr>
        <w:t>**Module: Admin &amp; Social**</w:t>
      </w:r>
    </w:p>
    <w:p>
      <w:pPr>
        <w:pStyle w:val="ListBullet"/>
      </w:pPr>
      <w:r>
        <w:t>GET /admin/revenue - Provides daily/weekly fee collection metrics.</w:t>
      </w:r>
    </w:p>
    <w:p>
      <w:pPr>
        <w:pStyle w:val="ListBullet"/>
      </w:pPr>
      <w:r>
        <w:t>POST /bulletin - Disseminates global exchange announcements.</w:t>
      </w:r>
    </w:p>
    <w:p/>
    <w:p>
      <w:pPr>
        <w:pBdr>
          <w:bottom w:val="single" w:sz="6" w:space="1" w:color="C7D2FE"/>
        </w:pBdr>
      </w:pPr>
    </w:p>
    <w:p/>
    <w:p/>
    <w:p>
      <w:pPr>
        <w:pStyle w:val="Heading2"/>
      </w:pPr>
      <w:r>
        <w:rPr>
          <w:b/>
          <w:color w:val="4338CA"/>
          <w:sz w:val="32"/>
        </w:rPr>
        <w:t>4. AI Intelligence Architecture</w:t>
      </w:r>
    </w:p>
    <w:p/>
    <w:p>
      <w:pPr>
        <w:pStyle w:val="Heading3"/>
      </w:pPr>
      <w:r>
        <w:rPr>
          <w:b/>
          <w:color w:val="1D4ED8"/>
          <w:sz w:val="26"/>
        </w:rPr>
        <w:t>**Integrated Models**</w:t>
      </w:r>
    </w:p>
    <w:p>
      <w:pPr>
        <w:pStyle w:val="ListBullet"/>
      </w:pPr>
      <w:r>
        <w:t>Google Gemini Pro: Primary engine for technical analysis and candlestick pattern recognition.</w:t>
      </w:r>
    </w:p>
    <w:p>
      <w:pPr>
        <w:pStyle w:val="ListBullet"/>
      </w:pPr>
      <w:r>
        <w:t>DeepSeek-V3: Secondary engine for tokenomic sentiment and contract auditing.</w:t>
      </w:r>
    </w:p>
    <w:p/>
    <w:p>
      <w:pPr>
        <w:pStyle w:val="Heading3"/>
      </w:pPr>
      <w:r>
        <w:rPr>
          <w:b/>
          <w:color w:val="1D4ED8"/>
          <w:sz w:val="26"/>
        </w:rPr>
        <w:t>**Intelligence Features**</w:t>
      </w:r>
    </w:p>
    <w:p>
      <w:pPr>
        <w:pStyle w:val="ListBullet"/>
      </w:pPr>
      <w:r>
        <w:t>Predictive Sentiment: 0-100 score based on social signals and on-chain whale activity.</w:t>
      </w:r>
    </w:p>
    <w:p>
      <w:pPr>
        <w:pStyle w:val="ListBullet"/>
      </w:pPr>
      <w:r>
        <w:t>Market Guard: Automated pattern detection within the Trading Panel to notify users of potential volatility.</w:t>
      </w:r>
    </w:p>
    <w:p/>
    <w:p>
      <w:pPr>
        <w:pBdr>
          <w:bottom w:val="single" w:sz="6" w:space="1" w:color="C7D2FE"/>
        </w:pBdr>
      </w:pPr>
    </w:p>
    <w:p/>
    <w:p/>
    <w:p>
      <w:pPr>
        <w:pStyle w:val="Heading2"/>
      </w:pPr>
      <w:r>
        <w:rPr>
          <w:b/>
          <w:color w:val="4338CA"/>
          <w:sz w:val="32"/>
        </w:rPr>
        <w:t>5. Technical Stack &amp; Dependencies</w:t>
      </w:r>
    </w:p>
    <w:p/>
    <w:p>
      <w:pPr>
        <w:pStyle w:val="Heading3"/>
      </w:pPr>
      <w:r>
        <w:rPr>
          <w:b/>
          <w:color w:val="1D4ED8"/>
          <w:sz w:val="26"/>
        </w:rPr>
        <w:t>**Frontend (UI/UX)**</w:t>
      </w:r>
    </w:p>
    <w:p>
      <w:pPr>
        <w:pStyle w:val="ListBullet"/>
      </w:pPr>
      <w:r>
        <w:t>Framework: Next.js 14 (Turbopack Enabled).</w:t>
      </w:r>
    </w:p>
    <w:p>
      <w:pPr>
        <w:pStyle w:val="ListBullet"/>
      </w:pPr>
      <w:r>
        <w:t>Design: Tailwind CSS with Custom Institutional Dark-Grid (Indigo/Emerald/Rose palette).</w:t>
      </w:r>
    </w:p>
    <w:p>
      <w:pPr>
        <w:pStyle w:val="ListBullet"/>
      </w:pPr>
      <w:r>
        <w:t>Interactivity: Framer Motion (Micro-animations).</w:t>
      </w:r>
    </w:p>
    <w:p>
      <w:pPr>
        <w:pStyle w:val="ListBullet"/>
      </w:pPr>
      <w:r>
        <w:t>Wallet Comms: ethers.js v6 + BrowserProvider.</w:t>
      </w:r>
    </w:p>
    <w:p/>
    <w:p>
      <w:pPr>
        <w:pStyle w:val="Heading3"/>
      </w:pPr>
      <w:r>
        <w:rPr>
          <w:b/>
          <w:color w:val="1D4ED8"/>
          <w:sz w:val="26"/>
        </w:rPr>
        <w:t>**Backend (Infrastructure)**</w:t>
      </w:r>
    </w:p>
    <w:p>
      <w:pPr>
        <w:pStyle w:val="ListBullet"/>
      </w:pPr>
      <w:r>
        <w:t>Runtime: Node.js v20.</w:t>
      </w:r>
    </w:p>
    <w:p>
      <w:pPr>
        <w:pStyle w:val="ListBullet"/>
      </w:pPr>
      <w:r>
        <w:t>Server: Express.js + CORS.</w:t>
      </w:r>
    </w:p>
    <w:p>
      <w:pPr>
        <w:pStyle w:val="ListBullet"/>
      </w:pPr>
      <w:r>
        <w:t>Storage: SQLite3 (Persistent audit logging for all non-blockchain metadata).</w:t>
      </w:r>
    </w:p>
    <w:p>
      <w:pPr>
        <w:pStyle w:val="ListBullet"/>
      </w:pPr>
      <w:r>
        <w:t>Automation: node-cron managed cycles for Token Verification and Treasury PnL Audit.</w:t>
      </w:r>
    </w:p>
    <w:p/>
    <w:p>
      <w:pPr>
        <w:pBdr>
          <w:bottom w:val="single" w:sz="6" w:space="1" w:color="C7D2FE"/>
        </w:pBdr>
      </w:pPr>
    </w:p>
    <w:p/>
    <w:p/>
    <w:p>
      <w:pPr>
        <w:pStyle w:val="Heading2"/>
      </w:pPr>
      <w:r>
        <w:rPr>
          <w:b/>
          <w:color w:val="4338CA"/>
          <w:sz w:val="32"/>
        </w:rPr>
        <w:t>6. End-to-End Workflow Map</w:t>
      </w:r>
    </w:p>
    <w:p/>
    <w:p>
      <w:pPr>
        <w:pStyle w:val="ListNumber"/>
      </w:pPr>
      <w:r>
        <w:t>Creation: User pays service fee → Factory deploys contract → Backend logs metadata + IPFS.</w:t>
      </w:r>
    </w:p>
    <w:p>
      <w:pPr>
        <w:pStyle w:val="ListNumber"/>
      </w:pPr>
      <w:r>
        <w:t>Trading: Ethers.js triggers Wallet Extension → PancakeSwap Swaps tokens → Telemetry Sync records Ledger entry.</w:t>
      </w:r>
    </w:p>
    <w:p>
      <w:pPr>
        <w:pStyle w:val="ListNumber"/>
      </w:pPr>
      <w:r>
        <w:t>Futures: User Escrows 0.001 BNB → Backend tracks Position ID → Settlement triggers Manual Payout from Treasury.</w:t>
      </w:r>
    </w:p>
    <w:p>
      <w:pPr>
        <w:pStyle w:val="ListNumber"/>
      </w:pPr>
      <w:r>
        <w:t>Analytics: Ledger processes timestamp data → Heatmap highlights Red/Green based on realized daily delta.</w:t>
      </w:r>
    </w:p>
    <w:p/>
    <w:p>
      <w:pPr>
        <w:pBdr>
          <w:bottom w:val="single" w:sz="6" w:space="1" w:color="C7D2FE"/>
        </w:pBdr>
      </w:pPr>
    </w:p>
    <w:p>
      <w:r>
        <w:t>This document constitutes the definitive technical signature of the B20 Exchange Platform.</w:t>
      </w:r>
    </w:p>
    <w:p>
      <w:pPr>
        <w:pBdr>
          <w:bottom w:val="single" w:sz="6" w:space="1" w:color="C7D2FE"/>
        </w:pBdr>
      </w:pPr>
    </w:p>
    <w:p>
      <w:pPr>
        <w:jc w:val="center"/>
      </w:pPr>
      <w:r>
        <w:rPr>
          <w:i/>
          <w:color w:val="9CA3AF"/>
          <w:sz w:val="16"/>
        </w:rPr>
        <w:t>© B20 Exchange · Nexus Nuera Admin · Confidential Document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