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63C84" w14:textId="77777777" w:rsidR="00E0678F" w:rsidRDefault="00000000">
      <w:pPr>
        <w:jc w:val="center"/>
      </w:pPr>
      <w:r>
        <w:rPr>
          <w:b/>
          <w:color w:val="C2410C"/>
          <w:sz w:val="56"/>
        </w:rPr>
        <w:t>🥤 Beverage Sales Analytics</w:t>
      </w:r>
    </w:p>
    <w:p w14:paraId="625C51EB" w14:textId="77777777" w:rsidR="00E0678F" w:rsidRDefault="00000000">
      <w:pPr>
        <w:jc w:val="center"/>
      </w:pPr>
      <w:r>
        <w:rPr>
          <w:i/>
          <w:sz w:val="28"/>
        </w:rPr>
        <w:t>Power BI Dashboard &amp; Business Intelligence Report</w:t>
      </w:r>
    </w:p>
    <w:p w14:paraId="0ABF8688" w14:textId="77777777" w:rsidR="00E0678F" w:rsidRDefault="00000000">
      <w:pPr>
        <w:jc w:val="center"/>
      </w:pPr>
      <w:r>
        <w:rPr>
          <w:color w:val="78716C"/>
          <w:sz w:val="20"/>
        </w:rPr>
        <w:t>Prepared by: Purva Thorat | Date: March 30, 2026</w:t>
      </w:r>
    </w:p>
    <w:p w14:paraId="7098C0EE" w14:textId="77777777" w:rsidR="00E0678F" w:rsidRDefault="00E0678F"/>
    <w:p w14:paraId="2F2E6D23" w14:textId="77777777" w:rsidR="00E0678F" w:rsidRDefault="00000000">
      <w:pPr>
        <w:pStyle w:val="Heading1"/>
      </w:pPr>
      <w:r>
        <w:t>Executive Summary</w:t>
      </w:r>
    </w:p>
    <w:p w14:paraId="231DA92A" w14:textId="77777777" w:rsidR="00E0678F" w:rsidRDefault="00000000">
      <w:r>
        <w:t>This comprehensive analysis examines annual beverage sales across the United States, encompassing $8 million in total revenue generated through the sale of 16.45 million units at an average price of $0.48 per unit. The analysis reveals critical business patterns, geographic opportunities, and seasonal trends that inform strategic decision-making for revenue optimization and market expansion.</w:t>
      </w:r>
    </w:p>
    <w:p w14:paraId="43EF74BE" w14:textId="77777777" w:rsidR="00E0678F" w:rsidRDefault="00000000">
      <w:pPr>
        <w:pStyle w:val="Heading1"/>
      </w:pPr>
      <w:r>
        <w:t>Key Findings</w:t>
      </w:r>
    </w:p>
    <w:p w14:paraId="545E779C" w14:textId="77777777" w:rsidR="00E0678F" w:rsidRDefault="00000000">
      <w:pPr>
        <w:pStyle w:val="Heading2"/>
      </w:pPr>
      <w:r>
        <w:t>Financial Performance</w:t>
      </w:r>
    </w:p>
    <w:p w14:paraId="471F8CAA" w14:textId="77777777" w:rsidR="00E0678F" w:rsidRDefault="00000000">
      <w:r>
        <w:t>The beverage business demonstrates strong fundamentals with consistent revenue generation and nationwide market penetration. The $8M annual revenue represents a high-volume, low-margin business model typical of the mass-market beverage industry. The average unit price of $0.48 positions the portfolio competitively within the mass-market segment.</w:t>
      </w:r>
    </w:p>
    <w:p w14:paraId="20642C4D" w14:textId="77777777" w:rsidR="00E0678F" w:rsidRDefault="00000000">
      <w:pPr>
        <w:pStyle w:val="Heading2"/>
      </w:pPr>
      <w:r>
        <w:t>Seasonal Trends</w:t>
      </w:r>
    </w:p>
    <w:p w14:paraId="3E0457F2" w14:textId="77777777" w:rsidR="00E0678F" w:rsidRDefault="00000000">
      <w:r>
        <w:t>Revenue analysis reveals significant seasonal variation throughout the year. The summer months (June through August) represent the peak performance period, generating approximately $1.0-1.1 million per month. This represents a 2x multiplier compared to first-quarter performance ($0.5M monthly), indicating strong seasonal demand driven by warmer weather and increased beverage consumption.</w:t>
      </w:r>
    </w:p>
    <w:p w14:paraId="47AEADD0" w14:textId="77777777" w:rsidR="00E0678F" w:rsidRDefault="00000000">
      <w:r>
        <w:t>December also shows strong performance at $1.1M, likely driven by holiday season demand. The post-summer period (September through November) shows a moderate decline to $0.6-0.7M monthly.</w:t>
      </w:r>
    </w:p>
    <w:p w14:paraId="134EE8AB" w14:textId="77777777" w:rsidR="00E0678F" w:rsidRDefault="00000000">
      <w:pPr>
        <w:pStyle w:val="Heading2"/>
      </w:pPr>
      <w:r>
        <w:t>Geographic Distribution</w:t>
      </w:r>
    </w:p>
    <w:p w14:paraId="5540B55F" w14:textId="77777777" w:rsidR="00E0678F" w:rsidRDefault="00000000">
      <w:r>
        <w:t>Sales are distributed across all 50 states with significant concentration in high-population regions:</w:t>
      </w:r>
    </w:p>
    <w:tbl>
      <w:tblPr>
        <w:tblStyle w:val="LightGrid-Accent1"/>
        <w:tblW w:w="0" w:type="auto"/>
        <w:tblLook w:val="04A0" w:firstRow="1" w:lastRow="0" w:firstColumn="1" w:lastColumn="0" w:noHBand="0" w:noVBand="1"/>
      </w:tblPr>
      <w:tblGrid>
        <w:gridCol w:w="4310"/>
        <w:gridCol w:w="4310"/>
      </w:tblGrid>
      <w:tr w:rsidR="00E0678F" w14:paraId="53A69357" w14:textId="77777777" w:rsidTr="00E067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C2410C"/>
          </w:tcPr>
          <w:p w14:paraId="2E7AE1C4" w14:textId="77777777" w:rsidR="00E0678F" w:rsidRDefault="00000000">
            <w:r>
              <w:t>Region</w:t>
            </w:r>
          </w:p>
        </w:tc>
        <w:tc>
          <w:tcPr>
            <w:tcW w:w="4320" w:type="dxa"/>
            <w:shd w:val="clear" w:color="auto" w:fill="C2410C"/>
          </w:tcPr>
          <w:p w14:paraId="3B33F764" w14:textId="77777777" w:rsidR="00E0678F" w:rsidRDefault="00000000">
            <w:pPr>
              <w:cnfStyle w:val="100000000000" w:firstRow="1" w:lastRow="0" w:firstColumn="0" w:lastColumn="0" w:oddVBand="0" w:evenVBand="0" w:oddHBand="0" w:evenHBand="0" w:firstRowFirstColumn="0" w:firstRowLastColumn="0" w:lastRowFirstColumn="0" w:lastRowLastColumn="0"/>
            </w:pPr>
            <w:r>
              <w:t>Key Markets</w:t>
            </w:r>
          </w:p>
        </w:tc>
      </w:tr>
      <w:tr w:rsidR="00E0678F" w14:paraId="23EDBF52" w14:textId="77777777" w:rsidTr="00E06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6F4C8B" w14:textId="77777777" w:rsidR="00E0678F" w:rsidRDefault="00000000">
            <w:r>
              <w:t>Western</w:t>
            </w:r>
          </w:p>
        </w:tc>
        <w:tc>
          <w:tcPr>
            <w:tcW w:w="4320" w:type="dxa"/>
          </w:tcPr>
          <w:p w14:paraId="20D84578" w14:textId="77777777" w:rsidR="00E0678F" w:rsidRDefault="00000000">
            <w:pPr>
              <w:cnfStyle w:val="000000100000" w:firstRow="0" w:lastRow="0" w:firstColumn="0" w:lastColumn="0" w:oddVBand="0" w:evenVBand="0" w:oddHBand="1" w:evenHBand="0" w:firstRowFirstColumn="0" w:firstRowLastColumn="0" w:lastRowFirstColumn="0" w:lastRowLastColumn="0"/>
            </w:pPr>
            <w:r>
              <w:t>California, Texas</w:t>
            </w:r>
          </w:p>
        </w:tc>
      </w:tr>
      <w:tr w:rsidR="00E0678F" w14:paraId="4DBAEA00" w14:textId="77777777" w:rsidTr="00E06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D18580" w14:textId="77777777" w:rsidR="00E0678F" w:rsidRDefault="00000000">
            <w:r>
              <w:lastRenderedPageBreak/>
              <w:t>Eastern Seaboard</w:t>
            </w:r>
          </w:p>
        </w:tc>
        <w:tc>
          <w:tcPr>
            <w:tcW w:w="4320" w:type="dxa"/>
          </w:tcPr>
          <w:p w14:paraId="6AFB8219" w14:textId="77777777" w:rsidR="00E0678F" w:rsidRDefault="00000000">
            <w:pPr>
              <w:cnfStyle w:val="000000010000" w:firstRow="0" w:lastRow="0" w:firstColumn="0" w:lastColumn="0" w:oddVBand="0" w:evenVBand="0" w:oddHBand="0" w:evenHBand="1" w:firstRowFirstColumn="0" w:firstRowLastColumn="0" w:lastRowFirstColumn="0" w:lastRowLastColumn="0"/>
            </w:pPr>
            <w:r>
              <w:t>New York, Pennsylvania, Florida</w:t>
            </w:r>
          </w:p>
        </w:tc>
      </w:tr>
      <w:tr w:rsidR="00E0678F" w14:paraId="1E36A28E" w14:textId="77777777" w:rsidTr="00E06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AFD1A7" w14:textId="77777777" w:rsidR="00E0678F" w:rsidRDefault="00000000">
            <w:r>
              <w:t>Midwest</w:t>
            </w:r>
          </w:p>
        </w:tc>
        <w:tc>
          <w:tcPr>
            <w:tcW w:w="4320" w:type="dxa"/>
          </w:tcPr>
          <w:p w14:paraId="720AAA5D" w14:textId="77777777" w:rsidR="00E0678F" w:rsidRDefault="00000000">
            <w:pPr>
              <w:cnfStyle w:val="000000100000" w:firstRow="0" w:lastRow="0" w:firstColumn="0" w:lastColumn="0" w:oddVBand="0" w:evenVBand="0" w:oddHBand="1" w:evenHBand="0" w:firstRowFirstColumn="0" w:firstRowLastColumn="0" w:lastRowFirstColumn="0" w:lastRowLastColumn="0"/>
            </w:pPr>
            <w:r>
              <w:t>Illinois, Ohio, Michigan</w:t>
            </w:r>
          </w:p>
        </w:tc>
      </w:tr>
      <w:tr w:rsidR="00E0678F" w14:paraId="7EB13DA9" w14:textId="77777777" w:rsidTr="00E06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6E34D" w14:textId="77777777" w:rsidR="00E0678F" w:rsidRDefault="00000000">
            <w:r>
              <w:t>South</w:t>
            </w:r>
          </w:p>
        </w:tc>
        <w:tc>
          <w:tcPr>
            <w:tcW w:w="4320" w:type="dxa"/>
          </w:tcPr>
          <w:p w14:paraId="704ABFE9" w14:textId="77777777" w:rsidR="00E0678F" w:rsidRDefault="00000000">
            <w:pPr>
              <w:cnfStyle w:val="000000010000" w:firstRow="0" w:lastRow="0" w:firstColumn="0" w:lastColumn="0" w:oddVBand="0" w:evenVBand="0" w:oddHBand="0" w:evenHBand="1" w:firstRowFirstColumn="0" w:firstRowLastColumn="0" w:lastRowFirstColumn="0" w:lastRowLastColumn="0"/>
            </w:pPr>
            <w:r>
              <w:t>Georgia, Tennessee, Carolinas</w:t>
            </w:r>
          </w:p>
        </w:tc>
      </w:tr>
      <w:tr w:rsidR="00E0678F" w14:paraId="5035E6E0" w14:textId="77777777" w:rsidTr="00E06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976B83" w14:textId="77777777" w:rsidR="00E0678F" w:rsidRDefault="00000000">
            <w:r>
              <w:t>Mountain/Plains</w:t>
            </w:r>
          </w:p>
        </w:tc>
        <w:tc>
          <w:tcPr>
            <w:tcW w:w="4320" w:type="dxa"/>
          </w:tcPr>
          <w:p w14:paraId="7C0468D0" w14:textId="77777777" w:rsidR="00E0678F" w:rsidRDefault="00000000">
            <w:pPr>
              <w:cnfStyle w:val="000000100000" w:firstRow="0" w:lastRow="0" w:firstColumn="0" w:lastColumn="0" w:oddVBand="0" w:evenVBand="0" w:oddHBand="1" w:evenHBand="0" w:firstRowFirstColumn="0" w:firstRowLastColumn="0" w:lastRowFirstColumn="0" w:lastRowLastColumn="0"/>
            </w:pPr>
            <w:r>
              <w:t>Montana, Wyoming, Colorado</w:t>
            </w:r>
          </w:p>
        </w:tc>
      </w:tr>
    </w:tbl>
    <w:p w14:paraId="3EE70E32" w14:textId="77777777" w:rsidR="00E0678F" w:rsidRDefault="00000000">
      <w:pPr>
        <w:pStyle w:val="Heading2"/>
      </w:pPr>
      <w:r>
        <w:t>Product Portfolio</w:t>
      </w:r>
    </w:p>
    <w:p w14:paraId="41186071" w14:textId="77777777" w:rsidR="00E0678F" w:rsidRDefault="00000000">
      <w:r>
        <w:t>The analysis covers six major beverage brands: Coca-Cola, Dasani Water, Diet Coke, Fanta, Powerade, and Sprite. This diverse portfolio spans carbonated soft drinks, sports drinks, and bottled water, providing multiple revenue streams and catering to different consumer preferences.</w:t>
      </w:r>
    </w:p>
    <w:p w14:paraId="5F38A571" w14:textId="77777777" w:rsidR="00E0678F" w:rsidRDefault="00000000">
      <w:pPr>
        <w:pStyle w:val="Heading1"/>
      </w:pPr>
      <w:r>
        <w:t>Key Performance Indicators</w:t>
      </w:r>
    </w:p>
    <w:tbl>
      <w:tblPr>
        <w:tblStyle w:val="LightGrid-Accent1"/>
        <w:tblW w:w="0" w:type="auto"/>
        <w:tblLook w:val="04A0" w:firstRow="1" w:lastRow="0" w:firstColumn="1" w:lastColumn="0" w:noHBand="0" w:noVBand="1"/>
      </w:tblPr>
      <w:tblGrid>
        <w:gridCol w:w="4310"/>
        <w:gridCol w:w="4310"/>
      </w:tblGrid>
      <w:tr w:rsidR="00E0678F" w14:paraId="42703EBA" w14:textId="77777777" w:rsidTr="00E067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59E0B"/>
          </w:tcPr>
          <w:p w14:paraId="1B2FCA74" w14:textId="77777777" w:rsidR="00E0678F" w:rsidRDefault="00000000">
            <w:r>
              <w:t>Metric</w:t>
            </w:r>
          </w:p>
        </w:tc>
        <w:tc>
          <w:tcPr>
            <w:tcW w:w="4320" w:type="dxa"/>
            <w:shd w:val="clear" w:color="auto" w:fill="F59E0B"/>
          </w:tcPr>
          <w:p w14:paraId="137674EC" w14:textId="77777777" w:rsidR="00E0678F" w:rsidRDefault="00000000">
            <w:pPr>
              <w:cnfStyle w:val="100000000000" w:firstRow="1" w:lastRow="0" w:firstColumn="0" w:lastColumn="0" w:oddVBand="0" w:evenVBand="0" w:oddHBand="0" w:evenHBand="0" w:firstRowFirstColumn="0" w:firstRowLastColumn="0" w:lastRowFirstColumn="0" w:lastRowLastColumn="0"/>
            </w:pPr>
            <w:r>
              <w:t>Value</w:t>
            </w:r>
          </w:p>
        </w:tc>
      </w:tr>
      <w:tr w:rsidR="00E0678F" w14:paraId="524E3F68" w14:textId="77777777" w:rsidTr="00E06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2339DD" w14:textId="77777777" w:rsidR="00E0678F" w:rsidRDefault="00000000">
            <w:r>
              <w:t>Total Annual Revenue</w:t>
            </w:r>
          </w:p>
        </w:tc>
        <w:tc>
          <w:tcPr>
            <w:tcW w:w="4320" w:type="dxa"/>
          </w:tcPr>
          <w:p w14:paraId="4D6FBA63" w14:textId="77777777" w:rsidR="00E0678F" w:rsidRDefault="00000000">
            <w:pPr>
              <w:cnfStyle w:val="000000100000" w:firstRow="0" w:lastRow="0" w:firstColumn="0" w:lastColumn="0" w:oddVBand="0" w:evenVBand="0" w:oddHBand="1" w:evenHBand="0" w:firstRowFirstColumn="0" w:firstRowLastColumn="0" w:lastRowFirstColumn="0" w:lastRowLastColumn="0"/>
            </w:pPr>
            <w:r>
              <w:t>$8M</w:t>
            </w:r>
          </w:p>
        </w:tc>
      </w:tr>
      <w:tr w:rsidR="00E0678F" w14:paraId="105D6E23" w14:textId="77777777" w:rsidTr="00E06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E351A6" w14:textId="77777777" w:rsidR="00E0678F" w:rsidRDefault="00000000">
            <w:r>
              <w:t>Total Units Sold</w:t>
            </w:r>
          </w:p>
        </w:tc>
        <w:tc>
          <w:tcPr>
            <w:tcW w:w="4320" w:type="dxa"/>
          </w:tcPr>
          <w:p w14:paraId="11C0111E" w14:textId="77777777" w:rsidR="00E0678F" w:rsidRDefault="00000000">
            <w:pPr>
              <w:cnfStyle w:val="000000010000" w:firstRow="0" w:lastRow="0" w:firstColumn="0" w:lastColumn="0" w:oddVBand="0" w:evenVBand="0" w:oddHBand="0" w:evenHBand="1" w:firstRowFirstColumn="0" w:firstRowLastColumn="0" w:lastRowFirstColumn="0" w:lastRowLastColumn="0"/>
            </w:pPr>
            <w:r>
              <w:t>16.45M</w:t>
            </w:r>
          </w:p>
        </w:tc>
      </w:tr>
      <w:tr w:rsidR="00E0678F" w14:paraId="405CD092" w14:textId="77777777" w:rsidTr="00E06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56FE11" w14:textId="77777777" w:rsidR="00E0678F" w:rsidRDefault="00000000">
            <w:r>
              <w:t>Average Price per Unit</w:t>
            </w:r>
          </w:p>
        </w:tc>
        <w:tc>
          <w:tcPr>
            <w:tcW w:w="4320" w:type="dxa"/>
          </w:tcPr>
          <w:p w14:paraId="035DCBB7" w14:textId="77777777" w:rsidR="00E0678F" w:rsidRDefault="00000000">
            <w:pPr>
              <w:cnfStyle w:val="000000100000" w:firstRow="0" w:lastRow="0" w:firstColumn="0" w:lastColumn="0" w:oddVBand="0" w:evenVBand="0" w:oddHBand="1" w:evenHBand="0" w:firstRowFirstColumn="0" w:firstRowLastColumn="0" w:lastRowFirstColumn="0" w:lastRowLastColumn="0"/>
            </w:pPr>
            <w:r>
              <w:t>$0.48</w:t>
            </w:r>
          </w:p>
        </w:tc>
      </w:tr>
      <w:tr w:rsidR="00E0678F" w14:paraId="6CDFD774" w14:textId="77777777" w:rsidTr="00E06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BA4782" w14:textId="77777777" w:rsidR="00E0678F" w:rsidRDefault="00000000">
            <w:r>
              <w:t>Peak Monthly Revenue</w:t>
            </w:r>
          </w:p>
        </w:tc>
        <w:tc>
          <w:tcPr>
            <w:tcW w:w="4320" w:type="dxa"/>
          </w:tcPr>
          <w:p w14:paraId="5C56113A" w14:textId="77777777" w:rsidR="00E0678F" w:rsidRDefault="00000000">
            <w:pPr>
              <w:cnfStyle w:val="000000010000" w:firstRow="0" w:lastRow="0" w:firstColumn="0" w:lastColumn="0" w:oddVBand="0" w:evenVBand="0" w:oddHBand="0" w:evenHBand="1" w:firstRowFirstColumn="0" w:firstRowLastColumn="0" w:lastRowFirstColumn="0" w:lastRowLastColumn="0"/>
            </w:pPr>
            <w:r>
              <w:t>$1.1M (June-August)</w:t>
            </w:r>
          </w:p>
        </w:tc>
      </w:tr>
      <w:tr w:rsidR="00E0678F" w14:paraId="2BC7A063" w14:textId="77777777" w:rsidTr="00E06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5960DE" w14:textId="77777777" w:rsidR="00E0678F" w:rsidRDefault="00000000">
            <w:r>
              <w:t>Baseline Monthly Revenue</w:t>
            </w:r>
          </w:p>
        </w:tc>
        <w:tc>
          <w:tcPr>
            <w:tcW w:w="4320" w:type="dxa"/>
          </w:tcPr>
          <w:p w14:paraId="19E61BDD" w14:textId="77777777" w:rsidR="00E0678F" w:rsidRDefault="00000000">
            <w:pPr>
              <w:cnfStyle w:val="000000100000" w:firstRow="0" w:lastRow="0" w:firstColumn="0" w:lastColumn="0" w:oddVBand="0" w:evenVBand="0" w:oddHBand="1" w:evenHBand="0" w:firstRowFirstColumn="0" w:firstRowLastColumn="0" w:lastRowFirstColumn="0" w:lastRowLastColumn="0"/>
            </w:pPr>
            <w:r>
              <w:t>$0.5M (Q1)</w:t>
            </w:r>
          </w:p>
        </w:tc>
      </w:tr>
      <w:tr w:rsidR="00E0678F" w14:paraId="3AE72665" w14:textId="77777777" w:rsidTr="00E06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60CB29" w14:textId="77777777" w:rsidR="00E0678F" w:rsidRDefault="00000000">
            <w:r>
              <w:t>Geographic Coverage</w:t>
            </w:r>
          </w:p>
        </w:tc>
        <w:tc>
          <w:tcPr>
            <w:tcW w:w="4320" w:type="dxa"/>
          </w:tcPr>
          <w:p w14:paraId="305EAB87" w14:textId="77777777" w:rsidR="00E0678F" w:rsidRDefault="00000000">
            <w:pPr>
              <w:cnfStyle w:val="000000010000" w:firstRow="0" w:lastRow="0" w:firstColumn="0" w:lastColumn="0" w:oddVBand="0" w:evenVBand="0" w:oddHBand="0" w:evenHBand="1" w:firstRowFirstColumn="0" w:firstRowLastColumn="0" w:lastRowFirstColumn="0" w:lastRowLastColumn="0"/>
            </w:pPr>
            <w:r>
              <w:t>All 50 States</w:t>
            </w:r>
          </w:p>
        </w:tc>
      </w:tr>
      <w:tr w:rsidR="00E0678F" w14:paraId="26D76A85" w14:textId="77777777" w:rsidTr="00E06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B8CE0D" w14:textId="77777777" w:rsidR="00E0678F" w:rsidRDefault="00000000">
            <w:r>
              <w:t>Number of Brands</w:t>
            </w:r>
          </w:p>
        </w:tc>
        <w:tc>
          <w:tcPr>
            <w:tcW w:w="4320" w:type="dxa"/>
          </w:tcPr>
          <w:p w14:paraId="5CC5AF00" w14:textId="77777777" w:rsidR="00E0678F" w:rsidRDefault="00000000">
            <w:pPr>
              <w:cnfStyle w:val="000000100000" w:firstRow="0" w:lastRow="0" w:firstColumn="0" w:lastColumn="0" w:oddVBand="0" w:evenVBand="0" w:oddHBand="1" w:evenHBand="0" w:firstRowFirstColumn="0" w:firstRowLastColumn="0" w:lastRowFirstColumn="0" w:lastRowLastColumn="0"/>
            </w:pPr>
            <w:r>
              <w:t>6 Major Brands</w:t>
            </w:r>
          </w:p>
        </w:tc>
      </w:tr>
    </w:tbl>
    <w:p w14:paraId="311E29CA" w14:textId="77777777" w:rsidR="00E0678F" w:rsidRDefault="00000000">
      <w:pPr>
        <w:pStyle w:val="Heading1"/>
      </w:pPr>
      <w:r>
        <w:t>Strategic Recommendations</w:t>
      </w:r>
    </w:p>
    <w:p w14:paraId="6D35EA12" w14:textId="77777777" w:rsidR="00E0678F" w:rsidRDefault="00000000">
      <w:pPr>
        <w:pStyle w:val="Heading2"/>
      </w:pPr>
      <w:r>
        <w:t>Seasonal Optimization Strategy</w:t>
      </w:r>
    </w:p>
    <w:p w14:paraId="48619D83" w14:textId="77777777" w:rsidR="00E0678F" w:rsidRDefault="00000000">
      <w:r>
        <w:t>Capitalize on the June-August peak period through increased inventory allocation, targeted promotional campaigns, and enhanced distribution capacity. This period represents the highest-value revenue opportunity.</w:t>
      </w:r>
    </w:p>
    <w:p w14:paraId="63E496DC" w14:textId="77777777" w:rsidR="00E0678F" w:rsidRDefault="00000000">
      <w:pPr>
        <w:pStyle w:val="Heading2"/>
      </w:pPr>
      <w:r>
        <w:t>First-Quarter Growth Initiative</w:t>
      </w:r>
    </w:p>
    <w:p w14:paraId="537C61D1" w14:textId="77777777" w:rsidR="00E0678F" w:rsidRDefault="00000000">
      <w:r>
        <w:t>Address lower Q1 performance through targeted promotions, new product launches, and seasonal flavor variants. Smoothing revenue throughout the year reduces business volatility.</w:t>
      </w:r>
    </w:p>
    <w:p w14:paraId="65C17E58" w14:textId="77777777" w:rsidR="00E0678F" w:rsidRDefault="00000000">
      <w:pPr>
        <w:pStyle w:val="Heading2"/>
      </w:pPr>
      <w:r>
        <w:t>Geographic Expansion Program</w:t>
      </w:r>
    </w:p>
    <w:p w14:paraId="4B18D3A1" w14:textId="77777777" w:rsidR="00E0678F" w:rsidRDefault="00000000">
      <w:r>
        <w:t>Identify under-penetrated states for targeted growth initiatives and strategic distribution partnerships. Regional market share varies significantly, indicating expansion opportunities.</w:t>
      </w:r>
    </w:p>
    <w:p w14:paraId="127BA347" w14:textId="77777777" w:rsidR="00E0678F" w:rsidRDefault="00000000">
      <w:pPr>
        <w:pStyle w:val="Heading2"/>
      </w:pPr>
      <w:r>
        <w:t>Product Mix Optimization</w:t>
      </w:r>
    </w:p>
    <w:p w14:paraId="2C33A1D4" w14:textId="77777777" w:rsidR="00E0678F" w:rsidRDefault="00000000">
      <w:r>
        <w:t>Conduct deeper analysis on individual brand performance to optimize inventory allocation and marketing spend. Understanding brand performance by region enables targeted strategies.</w:t>
      </w:r>
    </w:p>
    <w:p w14:paraId="53D3FCFC" w14:textId="77777777" w:rsidR="00E0678F" w:rsidRDefault="00000000">
      <w:pPr>
        <w:pStyle w:val="Heading2"/>
      </w:pPr>
      <w:r>
        <w:lastRenderedPageBreak/>
        <w:t>Pricing Strategy Enhancement</w:t>
      </w:r>
    </w:p>
    <w:p w14:paraId="069D2784" w14:textId="77777777" w:rsidR="00E0678F" w:rsidRDefault="00000000">
      <w:r>
        <w:t>The $0.48 average price point suggests opportunities for premium product introductions and value pack optimization. Tiered pricing can improve margins without sacrificing volume.</w:t>
      </w:r>
    </w:p>
    <w:p w14:paraId="5601AFDE" w14:textId="77777777" w:rsidR="00E0678F" w:rsidRDefault="00000000">
      <w:pPr>
        <w:pStyle w:val="Heading2"/>
      </w:pPr>
      <w:r>
        <w:t>Distribution Efficiency Improvement</w:t>
      </w:r>
    </w:p>
    <w:p w14:paraId="19C4CB57" w14:textId="77777777" w:rsidR="00E0678F" w:rsidRDefault="00000000">
      <w:r>
        <w:t>Leverage strong presence in major population centers to optimize logistics costs and delivery times. Consolidate distribution in high-performing regions while expanding into emerging markets.</w:t>
      </w:r>
    </w:p>
    <w:p w14:paraId="2DB98D77" w14:textId="77777777" w:rsidR="00E0678F" w:rsidRDefault="00000000">
      <w:pPr>
        <w:pStyle w:val="Heading1"/>
      </w:pPr>
      <w:r>
        <w:t>Implementation Roadmap</w:t>
      </w:r>
    </w:p>
    <w:p w14:paraId="4274E54C" w14:textId="77777777" w:rsidR="00E0678F" w:rsidRDefault="00000000">
      <w:pPr>
        <w:pStyle w:val="ListBullet"/>
      </w:pPr>
      <w:r>
        <w:rPr>
          <w:b/>
        </w:rPr>
        <w:t xml:space="preserve">Q2 2026: </w:t>
      </w:r>
      <w:r>
        <w:t>Launch seasonal optimization initiatives for summer peak period</w:t>
      </w:r>
    </w:p>
    <w:p w14:paraId="198D7100" w14:textId="77777777" w:rsidR="00E0678F" w:rsidRDefault="00000000">
      <w:pPr>
        <w:pStyle w:val="ListBullet"/>
      </w:pPr>
      <w:r>
        <w:rPr>
          <w:b/>
        </w:rPr>
        <w:t xml:space="preserve">Q3 2026: </w:t>
      </w:r>
      <w:r>
        <w:t>Implement first-quarter growth strategies and product development</w:t>
      </w:r>
    </w:p>
    <w:p w14:paraId="6234BF0D" w14:textId="77777777" w:rsidR="00E0678F" w:rsidRDefault="00000000">
      <w:pPr>
        <w:pStyle w:val="ListBullet"/>
      </w:pPr>
      <w:r>
        <w:rPr>
          <w:b/>
        </w:rPr>
        <w:t xml:space="preserve">Q4 2026: </w:t>
      </w:r>
      <w:r>
        <w:t>Execute geographic expansion program in under-penetrated markets</w:t>
      </w:r>
    </w:p>
    <w:p w14:paraId="1C923C74" w14:textId="77777777" w:rsidR="00E0678F" w:rsidRDefault="00000000">
      <w:pPr>
        <w:pStyle w:val="ListBullet"/>
      </w:pPr>
      <w:r>
        <w:rPr>
          <w:b/>
        </w:rPr>
        <w:t xml:space="preserve">Q1 2027: </w:t>
      </w:r>
      <w:r>
        <w:t>Evaluate results and refine strategies based on performance data</w:t>
      </w:r>
    </w:p>
    <w:p w14:paraId="3125E2BE" w14:textId="77777777" w:rsidR="00E0678F" w:rsidRDefault="00000000">
      <w:pPr>
        <w:pStyle w:val="Heading1"/>
      </w:pPr>
      <w:r>
        <w:t>Conclusion</w:t>
      </w:r>
    </w:p>
    <w:p w14:paraId="15785A22" w14:textId="77777777" w:rsidR="00E0678F" w:rsidRDefault="00000000">
      <w:r>
        <w:t>The beverage sales analysis reveals a business with strong fundamentals, consistent nationwide presence, and significant growth opportunities. By implementing the recommended strategic initiatives, the organization can optimize seasonal revenue, expand geographic market share, and improve overall business performance. The data-driven insights provided by this analysis enable confident decision-making and strategic resource allocation for maximum business impact.</w:t>
      </w:r>
    </w:p>
    <w:sectPr w:rsidR="00E0678F"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81EB0" w14:textId="77777777" w:rsidR="00E21FB0" w:rsidRDefault="00E21FB0">
      <w:pPr>
        <w:spacing w:after="0" w:line="240" w:lineRule="auto"/>
      </w:pPr>
      <w:r>
        <w:separator/>
      </w:r>
    </w:p>
  </w:endnote>
  <w:endnote w:type="continuationSeparator" w:id="0">
    <w:p w14:paraId="71C555C7" w14:textId="77777777" w:rsidR="00E21FB0" w:rsidRDefault="00E21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0D8D3" w14:textId="77777777" w:rsidR="00E0678F" w:rsidRDefault="00000000">
    <w:pPr>
      <w:pStyle w:val="Footer"/>
    </w:pPr>
    <w:r>
      <w:t>March 30, 2026 | Prepared by Purva Thorat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736DB" w14:textId="77777777" w:rsidR="00E21FB0" w:rsidRDefault="00E21FB0">
      <w:pPr>
        <w:spacing w:after="0" w:line="240" w:lineRule="auto"/>
      </w:pPr>
      <w:r>
        <w:separator/>
      </w:r>
    </w:p>
  </w:footnote>
  <w:footnote w:type="continuationSeparator" w:id="0">
    <w:p w14:paraId="4CDC48B5" w14:textId="77777777" w:rsidR="00E21FB0" w:rsidRDefault="00E21F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A4D41" w14:textId="77777777" w:rsidR="00E0678F" w:rsidRDefault="00000000">
    <w:pPr>
      <w:pStyle w:val="Header"/>
    </w:pPr>
    <w:r>
      <w:t>Beverage Sales Analytics: Power BI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8860432">
    <w:abstractNumId w:val="8"/>
  </w:num>
  <w:num w:numId="2" w16cid:durableId="354036515">
    <w:abstractNumId w:val="6"/>
  </w:num>
  <w:num w:numId="3" w16cid:durableId="2096170888">
    <w:abstractNumId w:val="5"/>
  </w:num>
  <w:num w:numId="4" w16cid:durableId="1534348268">
    <w:abstractNumId w:val="4"/>
  </w:num>
  <w:num w:numId="5" w16cid:durableId="1497841263">
    <w:abstractNumId w:val="7"/>
  </w:num>
  <w:num w:numId="6" w16cid:durableId="1692296044">
    <w:abstractNumId w:val="3"/>
  </w:num>
  <w:num w:numId="7" w16cid:durableId="269817821">
    <w:abstractNumId w:val="2"/>
  </w:num>
  <w:num w:numId="8" w16cid:durableId="700521378">
    <w:abstractNumId w:val="1"/>
  </w:num>
  <w:num w:numId="9" w16cid:durableId="56001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0215F"/>
    <w:rsid w:val="00AA1D8D"/>
    <w:rsid w:val="00B47730"/>
    <w:rsid w:val="00CB0664"/>
    <w:rsid w:val="00E0678F"/>
    <w:rsid w:val="00E21FB0"/>
    <w:rsid w:val="00E865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D1771"/>
  <w14:defaultImageDpi w14:val="300"/>
  <w15:docId w15:val="{A84EC9FB-A16F-4BBE-8752-183F79F1E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Purva Thorat</cp:lastModifiedBy>
  <cp:revision>2</cp:revision>
  <dcterms:created xsi:type="dcterms:W3CDTF">2026-03-31T19:36:00Z</dcterms:created>
  <dcterms:modified xsi:type="dcterms:W3CDTF">2026-03-31T19:36:00Z</dcterms:modified>
  <cp:category/>
</cp:coreProperties>
</file>