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057A" w14:textId="77777777" w:rsidR="00EB2D75" w:rsidRPr="00FD6321" w:rsidRDefault="00EB2D75" w:rsidP="00EB2D75">
      <w:pPr>
        <w:rPr>
          <w:rFonts w:ascii="Calibri" w:hAnsi="Calibri" w:cs="Calibri"/>
          <w:b/>
          <w:bCs/>
          <w:sz w:val="40"/>
          <w:szCs w:val="40"/>
        </w:rPr>
      </w:pPr>
      <w:r w:rsidRPr="00FD6321">
        <w:rPr>
          <w:rFonts w:ascii="Calibri" w:hAnsi="Calibri" w:cs="Calibri"/>
          <w:b/>
          <w:bCs/>
          <w:sz w:val="40"/>
          <w:szCs w:val="40"/>
        </w:rPr>
        <w:t>CREDITLENS</w:t>
      </w:r>
    </w:p>
    <w:p w14:paraId="73D4C454" w14:textId="77777777" w:rsidR="00EB2D75" w:rsidRPr="00FD6321" w:rsidRDefault="00EB2D75" w:rsidP="00EB2D75">
      <w:pPr>
        <w:rPr>
          <w:rFonts w:ascii="Calibri" w:hAnsi="Calibri" w:cs="Calibri"/>
          <w:b/>
          <w:bCs/>
          <w:sz w:val="36"/>
          <w:szCs w:val="36"/>
        </w:rPr>
      </w:pPr>
      <w:r w:rsidRPr="00FD6321">
        <w:rPr>
          <w:rFonts w:ascii="Calibri" w:hAnsi="Calibri" w:cs="Calibri"/>
          <w:b/>
          <w:bCs/>
          <w:sz w:val="36"/>
          <w:szCs w:val="36"/>
        </w:rPr>
        <w:t>Executive Summary — Credit Risk &amp; Default Analysis</w:t>
      </w:r>
    </w:p>
    <w:p w14:paraId="447CAE65" w14:textId="0E18E3AF" w:rsidR="00EB2D75" w:rsidRPr="00FD6321" w:rsidRDefault="00EB2D75" w:rsidP="00EB2D75">
      <w:pPr>
        <w:rPr>
          <w:rFonts w:ascii="Calibri" w:hAnsi="Calibri" w:cs="Calibri"/>
        </w:rPr>
      </w:pPr>
      <w:r w:rsidRPr="00FD6321">
        <w:rPr>
          <w:rFonts w:ascii="Calibri" w:hAnsi="Calibri" w:cs="Calibri"/>
          <w:b/>
          <w:bCs/>
        </w:rPr>
        <w:t xml:space="preserve"> </w:t>
      </w:r>
      <w:r w:rsidRPr="00FD6321">
        <w:rPr>
          <w:rFonts w:ascii="Calibri" w:hAnsi="Calibri" w:cs="Calibri"/>
          <w:b/>
          <w:bCs/>
        </w:rPr>
        <w:t>Purva Bachal</w:t>
      </w:r>
      <w:r w:rsidRPr="00FD6321">
        <w:rPr>
          <w:rFonts w:ascii="Calibri" w:hAnsi="Calibri" w:cs="Calibri"/>
        </w:rPr>
        <w:br/>
      </w:r>
      <w:r w:rsidRPr="00FD6321">
        <w:rPr>
          <w:rFonts w:ascii="Calibri" w:hAnsi="Calibri" w:cs="Calibri"/>
          <w:b/>
          <w:bCs/>
        </w:rPr>
        <w:t>GitHub:</w:t>
      </w:r>
      <w:r w:rsidRPr="00FD6321">
        <w:rPr>
          <w:rFonts w:ascii="Calibri" w:hAnsi="Calibri" w:cs="Calibri"/>
        </w:rPr>
        <w:t xml:space="preserve"> </w:t>
      </w:r>
      <w:hyperlink r:id="rId7" w:history="1">
        <w:proofErr w:type="spellStart"/>
        <w:r w:rsidRPr="00FD6321">
          <w:rPr>
            <w:rStyle w:val="Hyperlink"/>
            <w:rFonts w:ascii="Calibri" w:hAnsi="Calibri" w:cs="Calibri"/>
          </w:rPr>
          <w:t>CreditLens</w:t>
        </w:r>
        <w:proofErr w:type="spellEnd"/>
        <w:r w:rsidRPr="00FD6321">
          <w:rPr>
            <w:rStyle w:val="Hyperlink"/>
            <w:rFonts w:ascii="Calibri" w:hAnsi="Calibri" w:cs="Calibri"/>
          </w:rPr>
          <w:t xml:space="preserve"> Repository</w:t>
        </w:r>
      </w:hyperlink>
      <w:r w:rsidRPr="00FD6321">
        <w:rPr>
          <w:rFonts w:ascii="Calibri" w:hAnsi="Calibri" w:cs="Calibri"/>
        </w:rPr>
        <w:br/>
      </w:r>
      <w:r w:rsidRPr="00FD6321">
        <w:rPr>
          <w:rFonts w:ascii="Calibri" w:hAnsi="Calibri" w:cs="Calibri"/>
          <w:b/>
          <w:bCs/>
        </w:rPr>
        <w:t>Tableau Public:</w:t>
      </w:r>
      <w:r w:rsidRPr="00FD6321">
        <w:rPr>
          <w:rFonts w:ascii="Calibri" w:hAnsi="Calibri" w:cs="Calibri"/>
        </w:rPr>
        <w:t xml:space="preserve"> </w:t>
      </w:r>
      <w:hyperlink r:id="rId8" w:history="1">
        <w:proofErr w:type="spellStart"/>
        <w:r w:rsidRPr="00FD6321">
          <w:rPr>
            <w:rStyle w:val="Hyperlink"/>
            <w:rFonts w:ascii="Calibri" w:hAnsi="Calibri" w:cs="Calibri"/>
          </w:rPr>
          <w:t>CreditLens</w:t>
        </w:r>
        <w:proofErr w:type="spellEnd"/>
        <w:r w:rsidRPr="00FD6321">
          <w:rPr>
            <w:rStyle w:val="Hyperlink"/>
            <w:rFonts w:ascii="Calibri" w:hAnsi="Calibri" w:cs="Calibri"/>
          </w:rPr>
          <w:t xml:space="preserve"> — Executive Risk Report</w:t>
        </w:r>
      </w:hyperlink>
      <w:r w:rsidRPr="00FD6321">
        <w:rPr>
          <w:rFonts w:ascii="Calibri" w:hAnsi="Calibri" w:cs="Calibri"/>
        </w:rPr>
        <w:br/>
      </w:r>
      <w:proofErr w:type="spellStart"/>
      <w:r w:rsidRPr="00FD6321">
        <w:rPr>
          <w:rFonts w:ascii="Calibri" w:hAnsi="Calibri" w:cs="Calibri"/>
          <w:b/>
          <w:bCs/>
        </w:rPr>
        <w:t>Streamlit</w:t>
      </w:r>
      <w:proofErr w:type="spellEnd"/>
      <w:r w:rsidRPr="00FD6321">
        <w:rPr>
          <w:rFonts w:ascii="Calibri" w:hAnsi="Calibri" w:cs="Calibri"/>
          <w:b/>
          <w:bCs/>
        </w:rPr>
        <w:t>:</w:t>
      </w:r>
      <w:r w:rsidRPr="00FD6321">
        <w:rPr>
          <w:rFonts w:ascii="Calibri" w:hAnsi="Calibri" w:cs="Calibri"/>
        </w:rPr>
        <w:t xml:space="preserve"> </w:t>
      </w:r>
      <w:hyperlink r:id="rId9" w:history="1">
        <w:r w:rsidRPr="00FD6321">
          <w:rPr>
            <w:rStyle w:val="Hyperlink"/>
            <w:rFonts w:ascii="Calibri" w:hAnsi="Calibri" w:cs="Calibri"/>
          </w:rPr>
          <w:t>Borrower Risk Assessment App</w:t>
        </w:r>
      </w:hyperlink>
    </w:p>
    <w:p w14:paraId="7E3B3779" w14:textId="77777777" w:rsidR="00EB2D75" w:rsidRPr="00FD6321" w:rsidRDefault="00EB2D75" w:rsidP="00EB2D75">
      <w:pPr>
        <w:rPr>
          <w:rFonts w:ascii="Calibri" w:hAnsi="Calibri" w:cs="Calibri"/>
        </w:rPr>
      </w:pPr>
      <w:r w:rsidRPr="00FD6321">
        <w:rPr>
          <w:rFonts w:ascii="Calibri" w:hAnsi="Calibri" w:cs="Calibri"/>
          <w:b/>
          <w:bCs/>
        </w:rPr>
        <w:t>Technology:</w:t>
      </w:r>
      <w:r w:rsidRPr="00FD6321">
        <w:rPr>
          <w:rFonts w:ascii="Calibri" w:hAnsi="Calibri" w:cs="Calibri"/>
        </w:rPr>
        <w:t xml:space="preserve"> PostgreSQL · SQL · Python · Pandas · scikit-learn · Tableau Public · </w:t>
      </w:r>
      <w:proofErr w:type="spellStart"/>
      <w:r w:rsidRPr="00FD6321">
        <w:rPr>
          <w:rFonts w:ascii="Calibri" w:hAnsi="Calibri" w:cs="Calibri"/>
        </w:rPr>
        <w:t>Streamlit</w:t>
      </w:r>
      <w:proofErr w:type="spellEnd"/>
    </w:p>
    <w:p w14:paraId="40CC148B" w14:textId="77777777" w:rsidR="00EB2D75" w:rsidRPr="00FD6321" w:rsidRDefault="00EB2D75" w:rsidP="00EB2D75">
      <w:pPr>
        <w:rPr>
          <w:rFonts w:ascii="Calibri" w:hAnsi="Calibri" w:cs="Calibri"/>
        </w:rPr>
      </w:pPr>
      <w:r w:rsidRPr="00FD6321">
        <w:rPr>
          <w:rFonts w:ascii="Calibri" w:hAnsi="Calibri" w:cs="Calibri"/>
        </w:rPr>
        <w:pict w14:anchorId="3763D84E">
          <v:rect id="_x0000_i1031" style="width:0;height:1.5pt" o:hralign="center" o:hrstd="t" o:hr="t" fillcolor="#a0a0a0" stroked="f"/>
        </w:pict>
      </w:r>
    </w:p>
    <w:p w14:paraId="703CEE70" w14:textId="77777777" w:rsidR="00EB2D75" w:rsidRPr="00FD6321" w:rsidRDefault="00EB2D75" w:rsidP="00EB2D75">
      <w:pPr>
        <w:rPr>
          <w:rFonts w:ascii="Calibri" w:hAnsi="Calibri" w:cs="Calibri"/>
          <w:b/>
          <w:bCs/>
        </w:rPr>
      </w:pPr>
      <w:r w:rsidRPr="00FD6321">
        <w:rPr>
          <w:rFonts w:ascii="Calibri" w:hAnsi="Calibri" w:cs="Calibri"/>
          <w:b/>
          <w:bCs/>
        </w:rPr>
        <w:t>Bottom Line</w:t>
      </w:r>
    </w:p>
    <w:p w14:paraId="222EB9E6" w14:textId="759E7947" w:rsidR="00FD6321" w:rsidRPr="00FD6321" w:rsidRDefault="00EB2D75" w:rsidP="00EB2D75">
      <w:pPr>
        <w:rPr>
          <w:rFonts w:ascii="Calibri" w:hAnsi="Calibri" w:cs="Calibri"/>
        </w:rPr>
      </w:pPr>
      <w:r w:rsidRPr="00FD6321">
        <w:rPr>
          <w:rFonts w:ascii="Calibri" w:hAnsi="Calibri" w:cs="Calibri"/>
        </w:rPr>
        <w:t xml:space="preserve">Across 32,581 loan records representing </w:t>
      </w:r>
      <w:r w:rsidRPr="00FD6321">
        <w:rPr>
          <w:rFonts w:ascii="Calibri" w:hAnsi="Calibri" w:cs="Calibri"/>
          <w:b/>
          <w:bCs/>
        </w:rPr>
        <w:t>USD 312.43 million in recorded loan amount</w:t>
      </w:r>
      <w:r w:rsidRPr="00FD6321">
        <w:rPr>
          <w:rFonts w:ascii="Calibri" w:hAnsi="Calibri" w:cs="Calibri"/>
        </w:rPr>
        <w:t xml:space="preserve">, 7,108 loans are classified as defaults, producing an overall Default Rate of </w:t>
      </w:r>
      <w:r w:rsidRPr="00FD6321">
        <w:rPr>
          <w:rFonts w:ascii="Calibri" w:hAnsi="Calibri" w:cs="Calibri"/>
          <w:b/>
          <w:bCs/>
        </w:rPr>
        <w:t>21.82%</w:t>
      </w:r>
      <w:r w:rsidRPr="00FD6321">
        <w:rPr>
          <w:rFonts w:ascii="Calibri" w:hAnsi="Calibri" w:cs="Calibri"/>
        </w:rPr>
        <w:t xml:space="preserve">. The model-based Expected Loss estimate is </w:t>
      </w:r>
      <w:r w:rsidRPr="00FD6321">
        <w:rPr>
          <w:rFonts w:ascii="Calibri" w:hAnsi="Calibri" w:cs="Calibri"/>
          <w:b/>
          <w:bCs/>
        </w:rPr>
        <w:t>USD 57.30 million</w:t>
      </w:r>
      <w:r w:rsidRPr="00FD6321">
        <w:rPr>
          <w:rFonts w:ascii="Calibri" w:hAnsi="Calibri" w:cs="Calibri"/>
        </w:rPr>
        <w:t>, calculated using Logistic Regression scores and an assumed 45% loss-given-default.</w:t>
      </w:r>
    </w:p>
    <w:p w14:paraId="3E189C8D" w14:textId="77777777" w:rsidR="00EB2D75" w:rsidRPr="00FD6321" w:rsidRDefault="00EB2D75" w:rsidP="00EB2D75">
      <w:pPr>
        <w:rPr>
          <w:rFonts w:ascii="Calibri" w:hAnsi="Calibri" w:cs="Calibri"/>
          <w:b/>
          <w:bCs/>
        </w:rPr>
      </w:pPr>
      <w:r w:rsidRPr="00FD6321">
        <w:rPr>
          <w:rFonts w:ascii="Calibri" w:hAnsi="Calibri" w:cs="Calibri"/>
          <w:b/>
          <w:bCs/>
        </w:rPr>
        <w:t>Business Context</w:t>
      </w:r>
    </w:p>
    <w:p w14:paraId="513AB55F" w14:textId="77777777" w:rsidR="00EB2D75" w:rsidRPr="00FD6321" w:rsidRDefault="00EB2D75" w:rsidP="00EB2D75">
      <w:pPr>
        <w:rPr>
          <w:rFonts w:ascii="Calibri" w:hAnsi="Calibri" w:cs="Calibri"/>
          <w:b/>
          <w:bCs/>
        </w:rPr>
      </w:pPr>
      <w:r w:rsidRPr="00FD6321">
        <w:rPr>
          <w:rFonts w:ascii="Calibri" w:hAnsi="Calibri" w:cs="Calibri"/>
          <w:b/>
          <w:bCs/>
        </w:rPr>
        <w:t>The challenge</w:t>
      </w:r>
    </w:p>
    <w:p w14:paraId="544CE9C8" w14:textId="77777777" w:rsidR="00EB2D75" w:rsidRPr="00FD6321" w:rsidRDefault="00EB2D75" w:rsidP="00EB2D75">
      <w:pPr>
        <w:rPr>
          <w:rFonts w:ascii="Calibri" w:hAnsi="Calibri" w:cs="Calibri"/>
        </w:rPr>
      </w:pPr>
      <w:r w:rsidRPr="00FD6321">
        <w:rPr>
          <w:rFonts w:ascii="Calibri" w:hAnsi="Calibri" w:cs="Calibri"/>
        </w:rPr>
        <w:t>Portfolio-level averages can conceal material differences in default risk across credit grades, income groups and borrower affordability profiles. Risk teams need a clearer view of where defaults concentrate and which applications may warrant additional scrutiny.</w:t>
      </w:r>
    </w:p>
    <w:p w14:paraId="25B1898E" w14:textId="77777777" w:rsidR="00EB2D75" w:rsidRPr="00FD6321" w:rsidRDefault="00EB2D75" w:rsidP="00EB2D75">
      <w:pPr>
        <w:rPr>
          <w:rFonts w:ascii="Calibri" w:hAnsi="Calibri" w:cs="Calibri"/>
          <w:b/>
          <w:bCs/>
        </w:rPr>
      </w:pPr>
      <w:r w:rsidRPr="00FD6321">
        <w:rPr>
          <w:rFonts w:ascii="Calibri" w:hAnsi="Calibri" w:cs="Calibri"/>
          <w:b/>
          <w:bCs/>
        </w:rPr>
        <w:t>The approach</w:t>
      </w:r>
    </w:p>
    <w:p w14:paraId="26F6D5A5" w14:textId="140F1E16" w:rsidR="00EB2D75" w:rsidRPr="00FD6321" w:rsidRDefault="00EB2D75" w:rsidP="00EB2D75">
      <w:pPr>
        <w:rPr>
          <w:rFonts w:ascii="Calibri" w:hAnsi="Calibri" w:cs="Calibri"/>
        </w:rPr>
      </w:pPr>
      <w:proofErr w:type="spellStart"/>
      <w:r w:rsidRPr="00FD6321">
        <w:rPr>
          <w:rFonts w:ascii="Calibri" w:hAnsi="Calibri" w:cs="Calibri"/>
        </w:rPr>
        <w:t>CreditLens</w:t>
      </w:r>
      <w:proofErr w:type="spellEnd"/>
      <w:r w:rsidRPr="00FD6321">
        <w:rPr>
          <w:rFonts w:ascii="Calibri" w:hAnsi="Calibri" w:cs="Calibri"/>
        </w:rPr>
        <w:t xml:space="preserve"> combines structured data validation, PostgreSQL risk analysis, Logistic Regression scoring and interactive Tableau and </w:t>
      </w:r>
      <w:proofErr w:type="spellStart"/>
      <w:r w:rsidRPr="00FD6321">
        <w:rPr>
          <w:rFonts w:ascii="Calibri" w:hAnsi="Calibri" w:cs="Calibri"/>
        </w:rPr>
        <w:t>Streamlit</w:t>
      </w:r>
      <w:proofErr w:type="spellEnd"/>
      <w:r w:rsidRPr="00FD6321">
        <w:rPr>
          <w:rFonts w:ascii="Calibri" w:hAnsi="Calibri" w:cs="Calibri"/>
        </w:rPr>
        <w:t xml:space="preserve"> reporting. The analysis examines observed portfolio outcomes and uses model scores to estimate illustrative Expected Loss</w:t>
      </w:r>
      <w:r w:rsidRPr="00FD6321">
        <w:rPr>
          <w:rFonts w:ascii="Calibri" w:hAnsi="Calibri" w:cs="Calibri"/>
        </w:rPr>
        <w:t>.</w:t>
      </w:r>
    </w:p>
    <w:p w14:paraId="666ED23D" w14:textId="77777777" w:rsidR="00EB2D75" w:rsidRPr="00FD6321" w:rsidRDefault="00EB2D75" w:rsidP="00EB2D75">
      <w:pPr>
        <w:rPr>
          <w:rFonts w:ascii="Calibri" w:hAnsi="Calibri" w:cs="Calibri"/>
          <w:b/>
          <w:bCs/>
        </w:rPr>
      </w:pPr>
      <w:r w:rsidRPr="00FD6321">
        <w:rPr>
          <w:rFonts w:ascii="Calibri" w:hAnsi="Calibri" w:cs="Calibri"/>
          <w:b/>
          <w:bCs/>
        </w:rPr>
        <w:t>Key Findings</w:t>
      </w:r>
    </w:p>
    <w:p w14:paraId="448449F3" w14:textId="462D45AD" w:rsidR="00EB2D75" w:rsidRPr="00FD6321" w:rsidRDefault="00EB2D75" w:rsidP="00EB2D75">
      <w:pPr>
        <w:numPr>
          <w:ilvl w:val="0"/>
          <w:numId w:val="1"/>
        </w:numPr>
        <w:rPr>
          <w:rFonts w:ascii="Calibri" w:hAnsi="Calibri" w:cs="Calibri"/>
        </w:rPr>
      </w:pPr>
      <w:r w:rsidRPr="00FD6321">
        <w:rPr>
          <w:rFonts w:ascii="Calibri" w:hAnsi="Calibri" w:cs="Calibri"/>
          <w:b/>
          <w:bCs/>
        </w:rPr>
        <w:t>Credit grade is a strong risk differentiator.</w:t>
      </w:r>
      <w:r w:rsidRPr="00FD6321">
        <w:rPr>
          <w:rFonts w:ascii="Calibri" w:hAnsi="Calibri" w:cs="Calibri"/>
        </w:rPr>
        <w:t xml:space="preserve"> Default Rate rises from 9.96% for Grade A to 59.05% for Grade D and 98.44% for Grade G. </w:t>
      </w:r>
    </w:p>
    <w:p w14:paraId="2215B650" w14:textId="77777777" w:rsidR="00EB2D75" w:rsidRPr="00FD6321" w:rsidRDefault="00EB2D75" w:rsidP="00EB2D75">
      <w:pPr>
        <w:numPr>
          <w:ilvl w:val="0"/>
          <w:numId w:val="1"/>
        </w:numPr>
        <w:rPr>
          <w:rFonts w:ascii="Calibri" w:hAnsi="Calibri" w:cs="Calibri"/>
        </w:rPr>
      </w:pPr>
      <w:r w:rsidRPr="00FD6321">
        <w:rPr>
          <w:rFonts w:ascii="Calibri" w:hAnsi="Calibri" w:cs="Calibri"/>
          <w:b/>
          <w:bCs/>
        </w:rPr>
        <w:t>Income cohorts differ materially.</w:t>
      </w:r>
      <w:r w:rsidRPr="00FD6321">
        <w:rPr>
          <w:rFonts w:ascii="Calibri" w:hAnsi="Calibri" w:cs="Calibri"/>
        </w:rPr>
        <w:t xml:space="preserve"> The under-25K income group records a 54.44% Default Rate, compared with 10.02% for the 200K+ group.</w:t>
      </w:r>
    </w:p>
    <w:p w14:paraId="35FFD608" w14:textId="77777777" w:rsidR="00EB2D75" w:rsidRPr="00FD6321" w:rsidRDefault="00EB2D75" w:rsidP="00EB2D75">
      <w:pPr>
        <w:numPr>
          <w:ilvl w:val="0"/>
          <w:numId w:val="1"/>
        </w:numPr>
        <w:rPr>
          <w:rFonts w:ascii="Calibri" w:hAnsi="Calibri" w:cs="Calibri"/>
        </w:rPr>
      </w:pPr>
      <w:r w:rsidRPr="00FD6321">
        <w:rPr>
          <w:rFonts w:ascii="Calibri" w:hAnsi="Calibri" w:cs="Calibri"/>
          <w:b/>
          <w:bCs/>
        </w:rPr>
        <w:t>Higher loan burden corresponds with higher observed default.</w:t>
      </w:r>
      <w:r w:rsidRPr="00FD6321">
        <w:rPr>
          <w:rFonts w:ascii="Calibri" w:hAnsi="Calibri" w:cs="Calibri"/>
        </w:rPr>
        <w:t xml:space="preserve"> The 40%+ loan-burden cohort has a 38.87% Default Rate, compared with 11.07% for the under-20% cohort.</w:t>
      </w:r>
    </w:p>
    <w:p w14:paraId="32C2C8E0" w14:textId="6200EE27" w:rsidR="00EB2D75" w:rsidRPr="00FD6321" w:rsidRDefault="00EB2D75" w:rsidP="00EB2D75">
      <w:pPr>
        <w:numPr>
          <w:ilvl w:val="0"/>
          <w:numId w:val="1"/>
        </w:numPr>
        <w:rPr>
          <w:rFonts w:ascii="Calibri" w:hAnsi="Calibri" w:cs="Calibri"/>
        </w:rPr>
      </w:pPr>
      <w:r w:rsidRPr="00FD6321">
        <w:rPr>
          <w:rFonts w:ascii="Calibri" w:hAnsi="Calibri" w:cs="Calibri"/>
          <w:b/>
          <w:bCs/>
        </w:rPr>
        <w:t>Default rates vary by loan purpose.</w:t>
      </w:r>
      <w:r w:rsidRPr="00FD6321">
        <w:rPr>
          <w:rFonts w:ascii="Calibri" w:hAnsi="Calibri" w:cs="Calibri"/>
        </w:rPr>
        <w:t xml:space="preserve"> Debt consolidation records 28.59%, Medical 26.70% and Home Improvement 26.10%. </w:t>
      </w:r>
    </w:p>
    <w:p w14:paraId="0631C7D3" w14:textId="77777777" w:rsidR="00EB2D75" w:rsidRPr="00FD6321" w:rsidRDefault="00EB2D75" w:rsidP="00EB2D75">
      <w:pPr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FD6321">
        <w:rPr>
          <w:rFonts w:ascii="Calibri" w:hAnsi="Calibri" w:cs="Calibri"/>
          <w:b/>
          <w:bCs/>
        </w:rPr>
        <w:lastRenderedPageBreak/>
        <w:t>The model shows promising holdout discrimination.</w:t>
      </w:r>
      <w:r w:rsidRPr="00FD6321">
        <w:rPr>
          <w:rFonts w:ascii="Calibri" w:hAnsi="Calibri" w:cs="Calibri"/>
        </w:rPr>
        <w:t xml:space="preserve"> Logistic Regression achieved a recorded ROC-AUC of 0.8784. </w:t>
      </w:r>
    </w:p>
    <w:p w14:paraId="26DBAFB1" w14:textId="77777777" w:rsidR="00EB2D75" w:rsidRPr="00FD6321" w:rsidRDefault="00EB2D75" w:rsidP="00EB2D75">
      <w:pPr>
        <w:ind w:left="720"/>
        <w:rPr>
          <w:rFonts w:ascii="Calibri" w:hAnsi="Calibri" w:cs="Calibri"/>
          <w:b/>
          <w:bCs/>
        </w:rPr>
      </w:pPr>
    </w:p>
    <w:p w14:paraId="3B156893" w14:textId="3ECBADEA" w:rsidR="00EB2D75" w:rsidRPr="00FD6321" w:rsidRDefault="00EB2D75" w:rsidP="00EB2D75">
      <w:pPr>
        <w:ind w:left="720"/>
        <w:rPr>
          <w:rFonts w:ascii="Calibri" w:hAnsi="Calibri" w:cs="Calibri"/>
          <w:b/>
          <w:bCs/>
        </w:rPr>
      </w:pPr>
      <w:r w:rsidRPr="00FD6321">
        <w:rPr>
          <w:rFonts w:ascii="Calibri" w:hAnsi="Calibri" w:cs="Calibri"/>
          <w:b/>
          <w:bCs/>
        </w:rPr>
        <w:t>Recommendations</w:t>
      </w:r>
    </w:p>
    <w:p w14:paraId="3F599443" w14:textId="77777777" w:rsidR="00EB2D75" w:rsidRPr="00FD6321" w:rsidRDefault="00EB2D75" w:rsidP="00EB2D75">
      <w:pPr>
        <w:numPr>
          <w:ilvl w:val="0"/>
          <w:numId w:val="2"/>
        </w:numPr>
        <w:rPr>
          <w:rFonts w:ascii="Calibri" w:hAnsi="Calibri" w:cs="Calibri"/>
        </w:rPr>
      </w:pPr>
      <w:r w:rsidRPr="00FD6321">
        <w:rPr>
          <w:rFonts w:ascii="Calibri" w:hAnsi="Calibri" w:cs="Calibri"/>
          <w:b/>
          <w:bCs/>
        </w:rPr>
        <w:t>Strengthen affordability checks:</w:t>
      </w:r>
      <w:r w:rsidRPr="00FD6321">
        <w:rPr>
          <w:rFonts w:ascii="Calibri" w:hAnsi="Calibri" w:cs="Calibri"/>
        </w:rPr>
        <w:t xml:space="preserve"> Refer 40%+ loan-burden cases and high-burden/weak-grade combinations for enhanced review; assess whether lower initial exposure is appropriate.</w:t>
      </w:r>
    </w:p>
    <w:p w14:paraId="6A99A567" w14:textId="77777777" w:rsidR="00EB2D75" w:rsidRPr="00FD6321" w:rsidRDefault="00EB2D75" w:rsidP="00EB2D75">
      <w:pPr>
        <w:numPr>
          <w:ilvl w:val="0"/>
          <w:numId w:val="2"/>
        </w:numPr>
        <w:rPr>
          <w:rFonts w:ascii="Calibri" w:hAnsi="Calibri" w:cs="Calibri"/>
        </w:rPr>
      </w:pPr>
      <w:r w:rsidRPr="00FD6321">
        <w:rPr>
          <w:rFonts w:ascii="Calibri" w:hAnsi="Calibri" w:cs="Calibri"/>
          <w:b/>
          <w:bCs/>
        </w:rPr>
        <w:t>Combine risk signals:</w:t>
      </w:r>
      <w:r w:rsidRPr="00FD6321">
        <w:rPr>
          <w:rFonts w:ascii="Calibri" w:hAnsi="Calibri" w:cs="Calibri"/>
        </w:rPr>
        <w:t xml:space="preserve"> Consider model scores alongside credit grade, affordability and existing underwriting information when evaluating pricing, exposure limits or manual review.</w:t>
      </w:r>
    </w:p>
    <w:p w14:paraId="236B632B" w14:textId="126AABAC" w:rsidR="00EB2D75" w:rsidRPr="00FD6321" w:rsidRDefault="00EB2D75" w:rsidP="00EB2D75">
      <w:pPr>
        <w:numPr>
          <w:ilvl w:val="0"/>
          <w:numId w:val="2"/>
        </w:numPr>
        <w:rPr>
          <w:rFonts w:ascii="Calibri" w:hAnsi="Calibri" w:cs="Calibri"/>
        </w:rPr>
      </w:pPr>
      <w:r w:rsidRPr="00FD6321">
        <w:rPr>
          <w:rFonts w:ascii="Calibri" w:hAnsi="Calibri" w:cs="Calibri"/>
          <w:b/>
          <w:bCs/>
        </w:rPr>
        <w:t>Test structured review tiers:</w:t>
      </w:r>
      <w:r w:rsidRPr="00FD6321">
        <w:rPr>
          <w:rFonts w:ascii="Calibri" w:hAnsi="Calibri" w:cs="Calibri"/>
        </w:rPr>
        <w:t xml:space="preserve"> Evaluate </w:t>
      </w:r>
      <w:r w:rsidRPr="00FD6321">
        <w:rPr>
          <w:rFonts w:ascii="Calibri" w:hAnsi="Calibri" w:cs="Calibri"/>
        </w:rPr>
        <w:t xml:space="preserve">and validate </w:t>
      </w:r>
      <w:r w:rsidRPr="00FD6321">
        <w:rPr>
          <w:rFonts w:ascii="Calibri" w:hAnsi="Calibri" w:cs="Calibri"/>
        </w:rPr>
        <w:t xml:space="preserve">score bands below 20%, 20–45% and above 45% as case-study review categories. </w:t>
      </w:r>
    </w:p>
    <w:p w14:paraId="69C84109" w14:textId="77777777" w:rsidR="00EB2D75" w:rsidRPr="00FD6321" w:rsidRDefault="00EB2D75" w:rsidP="00EB2D75">
      <w:pPr>
        <w:numPr>
          <w:ilvl w:val="0"/>
          <w:numId w:val="2"/>
        </w:numPr>
        <w:rPr>
          <w:rFonts w:ascii="Calibri" w:hAnsi="Calibri" w:cs="Calibri"/>
        </w:rPr>
      </w:pPr>
      <w:r w:rsidRPr="00FD6321">
        <w:rPr>
          <w:rFonts w:ascii="Calibri" w:hAnsi="Calibri" w:cs="Calibri"/>
          <w:b/>
          <w:bCs/>
        </w:rPr>
        <w:t>Investigate cohort differences:</w:t>
      </w:r>
      <w:r w:rsidRPr="00FD6321">
        <w:rPr>
          <w:rFonts w:ascii="Calibri" w:hAnsi="Calibri" w:cs="Calibri"/>
        </w:rPr>
        <w:t xml:space="preserve"> Use income and loan-purpose patterns to guide further analysis, not as standalone eligibility or exclusion rules.</w:t>
      </w:r>
    </w:p>
    <w:p w14:paraId="4273DCFF" w14:textId="77777777" w:rsidR="00EB2D75" w:rsidRPr="00FD6321" w:rsidRDefault="00EB2D75" w:rsidP="00EB2D75">
      <w:pPr>
        <w:numPr>
          <w:ilvl w:val="0"/>
          <w:numId w:val="2"/>
        </w:numPr>
        <w:rPr>
          <w:rFonts w:ascii="Calibri" w:hAnsi="Calibri" w:cs="Calibri"/>
        </w:rPr>
      </w:pPr>
      <w:r w:rsidRPr="00FD6321">
        <w:rPr>
          <w:rFonts w:ascii="Calibri" w:hAnsi="Calibri" w:cs="Calibri"/>
          <w:b/>
          <w:bCs/>
        </w:rPr>
        <w:t>Monitor and recalibrate:</w:t>
      </w:r>
      <w:r w:rsidRPr="00FD6321">
        <w:rPr>
          <w:rFonts w:ascii="Calibri" w:hAnsi="Calibri" w:cs="Calibri"/>
        </w:rPr>
        <w:t xml:space="preserve"> Track manual overrides and subsequent outcomes, evaluate performance across borrower segments, and update controls only when sufficient evidence supports a change.</w:t>
      </w:r>
    </w:p>
    <w:p w14:paraId="71F1FD99" w14:textId="77777777" w:rsidR="00EB2D75" w:rsidRPr="00FD6321" w:rsidRDefault="00EB2D75" w:rsidP="00EB2D75">
      <w:pPr>
        <w:rPr>
          <w:rFonts w:ascii="Calibri" w:hAnsi="Calibri" w:cs="Calibri"/>
          <w:b/>
          <w:bCs/>
        </w:rPr>
      </w:pPr>
      <w:r w:rsidRPr="00FD6321">
        <w:rPr>
          <w:rFonts w:ascii="Calibri" w:hAnsi="Calibri" w:cs="Calibri"/>
          <w:b/>
          <w:bCs/>
        </w:rPr>
        <w:t>Limitations and Data Quality</w:t>
      </w:r>
    </w:p>
    <w:p w14:paraId="2B600F19" w14:textId="77777777" w:rsidR="00EB2D75" w:rsidRPr="00FD6321" w:rsidRDefault="00EB2D75" w:rsidP="00EB2D75">
      <w:pPr>
        <w:numPr>
          <w:ilvl w:val="0"/>
          <w:numId w:val="3"/>
        </w:numPr>
        <w:rPr>
          <w:rFonts w:ascii="Calibri" w:hAnsi="Calibri" w:cs="Calibri"/>
        </w:rPr>
      </w:pPr>
      <w:r w:rsidRPr="00FD6321">
        <w:rPr>
          <w:rFonts w:ascii="Calibri" w:hAnsi="Calibri" w:cs="Calibri"/>
        </w:rPr>
        <w:t>The recorded loan amount is not verified disbursed capital. The loan-burden field used for cohort analysis is not automatically equivalent to conventional total-debt DTI.</w:t>
      </w:r>
    </w:p>
    <w:p w14:paraId="1F300CF9" w14:textId="77777777" w:rsidR="00EB2D75" w:rsidRPr="00FD6321" w:rsidRDefault="00EB2D75" w:rsidP="00EB2D75">
      <w:pPr>
        <w:numPr>
          <w:ilvl w:val="0"/>
          <w:numId w:val="3"/>
        </w:numPr>
        <w:rPr>
          <w:rFonts w:ascii="Calibri" w:hAnsi="Calibri" w:cs="Calibri"/>
        </w:rPr>
      </w:pPr>
      <w:r w:rsidRPr="00FD6321">
        <w:rPr>
          <w:rFonts w:ascii="Calibri" w:hAnsi="Calibri" w:cs="Calibri"/>
        </w:rPr>
        <w:t>The 45% LGD is an assumption. The USD 57.30 million Expected Loss estimate is not realized loss or proven savings.</w:t>
      </w:r>
    </w:p>
    <w:p w14:paraId="116E6C99" w14:textId="77777777" w:rsidR="00EB2D75" w:rsidRPr="00FD6321" w:rsidRDefault="00EB2D75" w:rsidP="00EB2D75">
      <w:pPr>
        <w:numPr>
          <w:ilvl w:val="0"/>
          <w:numId w:val="3"/>
        </w:numPr>
        <w:rPr>
          <w:rFonts w:ascii="Calibri" w:hAnsi="Calibri" w:cs="Calibri"/>
        </w:rPr>
      </w:pPr>
      <w:r w:rsidRPr="00FD6321">
        <w:rPr>
          <w:rFonts w:ascii="Calibri" w:hAnsi="Calibri" w:cs="Calibri"/>
        </w:rPr>
        <w:t>ROC-AUC measures discrimination, not probability calibration. The model is not validated for real lending decisions.</w:t>
      </w:r>
    </w:p>
    <w:p w14:paraId="4AFA2D4A" w14:textId="14BD4063" w:rsidR="00EB2D75" w:rsidRPr="00FD6321" w:rsidRDefault="00EB2D75" w:rsidP="00EB2D75">
      <w:pPr>
        <w:numPr>
          <w:ilvl w:val="0"/>
          <w:numId w:val="3"/>
        </w:numPr>
        <w:rPr>
          <w:rFonts w:ascii="Calibri" w:hAnsi="Calibri" w:cs="Calibri"/>
        </w:rPr>
      </w:pPr>
      <w:r w:rsidRPr="00FD6321">
        <w:rPr>
          <w:rFonts w:ascii="Calibri" w:hAnsi="Calibri" w:cs="Calibri"/>
        </w:rPr>
        <w:t>Small cohorts, including Grade G, require cautious interpretation. Observed</w:t>
      </w:r>
      <w:r w:rsidR="00FD6321" w:rsidRPr="00FD6321">
        <w:rPr>
          <w:rFonts w:ascii="Calibri" w:hAnsi="Calibri" w:cs="Calibri"/>
        </w:rPr>
        <w:t xml:space="preserve"> </w:t>
      </w:r>
      <w:r w:rsidRPr="00FD6321">
        <w:rPr>
          <w:rFonts w:ascii="Calibri" w:hAnsi="Calibri" w:cs="Calibri"/>
        </w:rPr>
        <w:t>differences do not establish causation.</w:t>
      </w:r>
    </w:p>
    <w:p w14:paraId="5BA5C589" w14:textId="1B5C9CDB" w:rsidR="00EB2D75" w:rsidRPr="00FD6321" w:rsidRDefault="00EB2D75" w:rsidP="00EB2D75">
      <w:pPr>
        <w:rPr>
          <w:rFonts w:ascii="Calibri" w:hAnsi="Calibri" w:cs="Calibri"/>
        </w:rPr>
      </w:pPr>
      <w:r w:rsidRPr="00FD6321">
        <w:rPr>
          <w:rFonts w:ascii="Calibri" w:hAnsi="Calibri" w:cs="Calibri"/>
          <w:b/>
          <w:bCs/>
        </w:rPr>
        <w:t>Conclusion</w:t>
      </w:r>
    </w:p>
    <w:p w14:paraId="0197F72F" w14:textId="0B6477E1" w:rsidR="00EB2D75" w:rsidRPr="00FD6321" w:rsidRDefault="00EB2D75" w:rsidP="00EB2D75">
      <w:pPr>
        <w:rPr>
          <w:rFonts w:ascii="Calibri" w:hAnsi="Calibri" w:cs="Calibri"/>
        </w:rPr>
      </w:pPr>
      <w:proofErr w:type="spellStart"/>
      <w:r w:rsidRPr="00FD6321">
        <w:rPr>
          <w:rFonts w:ascii="Calibri" w:hAnsi="Calibri" w:cs="Calibri"/>
        </w:rPr>
        <w:t>CreditLens</w:t>
      </w:r>
      <w:proofErr w:type="spellEnd"/>
      <w:r w:rsidRPr="00FD6321">
        <w:rPr>
          <w:rFonts w:ascii="Calibri" w:hAnsi="Calibri" w:cs="Calibri"/>
        </w:rPr>
        <w:t xml:space="preserve"> demonstrates an end-to-end analytical workflow connecting data quality, SQL, risk segmentation, model evaluation and business reporting. Its practical contribution is a clearer view of default concentration and a set of underwriting controls that can be tested and monitored</w:t>
      </w:r>
      <w:r w:rsidR="00FD6321" w:rsidRPr="00FD6321">
        <w:rPr>
          <w:rFonts w:ascii="Calibri" w:hAnsi="Calibri" w:cs="Calibri"/>
        </w:rPr>
        <w:t xml:space="preserve">, </w:t>
      </w:r>
      <w:r w:rsidRPr="00FD6321">
        <w:rPr>
          <w:rFonts w:ascii="Calibri" w:hAnsi="Calibri" w:cs="Calibri"/>
        </w:rPr>
        <w:t>not a claim of realized loss reduction or production-ready lending decisions.</w:t>
      </w:r>
    </w:p>
    <w:p w14:paraId="26DC8346" w14:textId="77777777" w:rsidR="00EB2D75" w:rsidRPr="001C7DDC" w:rsidRDefault="00EB2D75">
      <w:pPr>
        <w:rPr>
          <w:rFonts w:ascii="Calibri" w:hAnsi="Calibri" w:cs="Calibri"/>
          <w:lang w:val="en-US"/>
        </w:rPr>
      </w:pPr>
    </w:p>
    <w:sectPr w:rsidR="00EB2D75" w:rsidRPr="001C7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CD3F4" w14:textId="77777777" w:rsidR="00FC4A1A" w:rsidRDefault="00FC4A1A" w:rsidP="00EB2D75">
      <w:pPr>
        <w:spacing w:after="0" w:line="240" w:lineRule="auto"/>
      </w:pPr>
      <w:r>
        <w:separator/>
      </w:r>
    </w:p>
  </w:endnote>
  <w:endnote w:type="continuationSeparator" w:id="0">
    <w:p w14:paraId="5920C129" w14:textId="77777777" w:rsidR="00FC4A1A" w:rsidRDefault="00FC4A1A" w:rsidP="00EB2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28F35" w14:textId="77777777" w:rsidR="00FC4A1A" w:rsidRDefault="00FC4A1A" w:rsidP="00EB2D75">
      <w:pPr>
        <w:spacing w:after="0" w:line="240" w:lineRule="auto"/>
      </w:pPr>
      <w:r>
        <w:separator/>
      </w:r>
    </w:p>
  </w:footnote>
  <w:footnote w:type="continuationSeparator" w:id="0">
    <w:p w14:paraId="456980D5" w14:textId="77777777" w:rsidR="00FC4A1A" w:rsidRDefault="00FC4A1A" w:rsidP="00EB2D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300C6"/>
    <w:multiLevelType w:val="multilevel"/>
    <w:tmpl w:val="A88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A59C1"/>
    <w:multiLevelType w:val="multilevel"/>
    <w:tmpl w:val="07DC0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6F18AA"/>
    <w:multiLevelType w:val="multilevel"/>
    <w:tmpl w:val="A9B87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721017">
    <w:abstractNumId w:val="2"/>
  </w:num>
  <w:num w:numId="2" w16cid:durableId="810711152">
    <w:abstractNumId w:val="1"/>
  </w:num>
  <w:num w:numId="3" w16cid:durableId="110168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75"/>
    <w:rsid w:val="001C7DDC"/>
    <w:rsid w:val="00912F1D"/>
    <w:rsid w:val="00EB2D75"/>
    <w:rsid w:val="00FC4A1A"/>
    <w:rsid w:val="00FD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FF904"/>
  <w15:chartTrackingRefBased/>
  <w15:docId w15:val="{1E91BB6B-3138-4E34-9480-D6264CD6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D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D7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2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D75"/>
  </w:style>
  <w:style w:type="paragraph" w:styleId="Footer">
    <w:name w:val="footer"/>
    <w:basedOn w:val="Normal"/>
    <w:link w:val="FooterChar"/>
    <w:uiPriority w:val="99"/>
    <w:unhideWhenUsed/>
    <w:rsid w:val="00EB2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views/CreditLens_Executive_Report?:showVizHome=no" TargetMode="External"/><Relationship Id="rId3" Type="http://schemas.openxmlformats.org/officeDocument/2006/relationships/settings" Target="settings.xml"/><Relationship Id="rId7" Type="http://schemas.openxmlformats.org/officeDocument/2006/relationships/hyperlink" Target="YOUR_GITHUB_REPOSITORY_UR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YOUR_STREAMLIT_APP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Bachal</dc:creator>
  <cp:keywords/>
  <dc:description/>
  <cp:lastModifiedBy>Purva Bachal</cp:lastModifiedBy>
  <cp:revision>1</cp:revision>
  <dcterms:created xsi:type="dcterms:W3CDTF">2026-10-11T05:49:00Z</dcterms:created>
  <dcterms:modified xsi:type="dcterms:W3CDTF">2026-10-11T06:44:00Z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a3469854-638d-4853-88c5-1e9e29c26723</vt:lpwstr>
  </property>
</Properties>
</file>