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04B9C" w:rsidR="00D04B9C" w:rsidP="00D04B9C" w:rsidRDefault="00D04B9C" w14:paraId="53557644" w14:textId="77777777">
      <w:pPr>
        <w:rPr>
          <w:b/>
          <w:bCs/>
        </w:rPr>
      </w:pPr>
      <w:r w:rsidRPr="00D04B9C">
        <w:rPr>
          <w:b/>
          <w:bCs/>
        </w:rPr>
        <w:t>AI-Powered SOX Audit Automation Demo </w:t>
      </w:r>
    </w:p>
    <w:p w:rsidRPr="00D04B9C" w:rsidR="00D04B9C" w:rsidP="00D04B9C" w:rsidRDefault="00D04B9C" w14:paraId="10A6F4C2" w14:noSpellErr="1" w14:textId="26CC0257">
      <w:r w:rsidR="72E159AE">
        <w:rPr/>
        <w:t> </w:t>
      </w:r>
      <w:r>
        <w:br/>
      </w:r>
      <w:r w:rsidR="72E159AE">
        <w:rPr/>
        <w:t xml:space="preserve">Hi everyone, and welcome to our </w:t>
      </w:r>
      <w:r w:rsidRPr="07736ACC" w:rsidR="72E159AE">
        <w:rPr>
          <w:b w:val="1"/>
          <w:bCs w:val="1"/>
        </w:rPr>
        <w:t>AI-powered SOX Audit Automation</w:t>
      </w:r>
      <w:r w:rsidR="72E159AE">
        <w:rPr/>
        <w:t>.  </w:t>
      </w:r>
      <w:r>
        <w:br/>
      </w:r>
      <w:r w:rsidR="72E159AE">
        <w:rPr/>
        <w:t> </w:t>
      </w:r>
      <w:r>
        <w:br/>
      </w:r>
      <w:r w:rsidR="72E159AE">
        <w:rPr/>
        <w:t>In today’s compliance-driven landscape, SOX audit scoping is critical, but often manual, time-consuming, and error-prone. This demo walks you through our</w:t>
      </w:r>
      <w:r w:rsidR="760CB64E">
        <w:rPr/>
        <w:t xml:space="preserve"> AI </w:t>
      </w:r>
      <w:r w:rsidR="72E159AE">
        <w:rPr/>
        <w:t xml:space="preserve">automation solution that makes SOX scoping faster, smarter, and more </w:t>
      </w:r>
      <w:r w:rsidR="72E159AE">
        <w:rPr/>
        <w:t>accurate</w:t>
      </w:r>
      <w:r w:rsidR="72E159AE">
        <w:rPr/>
        <w:t xml:space="preserve"> for audit, compliance, and risk teams. In this demo, we automate SOX scoping and control coverage in minutes. Upload your RCM and Trial Balance, let AI map messy columns, detect anomalies, run a hybrid </w:t>
      </w:r>
      <w:r w:rsidR="78E9E7FF">
        <w:rPr/>
        <w:t>control matching</w:t>
      </w:r>
      <w:r w:rsidR="72E159AE">
        <w:rPr/>
        <w:t xml:space="preserve"> engine, and instantly export </w:t>
      </w:r>
      <w:r w:rsidR="72E159AE">
        <w:rPr/>
        <w:t>consolidated</w:t>
      </w:r>
      <w:r w:rsidR="72E159AE">
        <w:rPr/>
        <w:t xml:space="preserve"> Excel, charts, and an executive summary, ready for auditing. </w:t>
      </w:r>
    </w:p>
    <w:p w:rsidRPr="00D04B9C" w:rsidR="00D04B9C" w:rsidP="00D04B9C" w:rsidRDefault="00D04B9C" w14:paraId="70087916" w14:textId="3E2F7D80">
      <w:r w:rsidRPr="00D04B9C">
        <w:t xml:space="preserve">Let’s start with the home page. Here, the sidebar walks us through the workflow, from </w:t>
      </w:r>
      <w:r w:rsidRPr="00D04B9C">
        <w:rPr>
          <w:i/>
          <w:iCs/>
        </w:rPr>
        <w:t>initial setup</w:t>
      </w:r>
      <w:r w:rsidRPr="00D04B9C">
        <w:t xml:space="preserve"> to </w:t>
      </w:r>
      <w:r w:rsidRPr="00D04B9C">
        <w:rPr>
          <w:i/>
          <w:iCs/>
        </w:rPr>
        <w:t>file upload</w:t>
      </w:r>
      <w:r w:rsidRPr="00D04B9C">
        <w:t xml:space="preserve">, </w:t>
      </w:r>
      <w:r w:rsidRPr="00D04B9C">
        <w:rPr>
          <w:i/>
          <w:iCs/>
        </w:rPr>
        <w:t>configuration</w:t>
      </w:r>
      <w:r w:rsidRPr="00D04B9C">
        <w:t xml:space="preserve">, </w:t>
      </w:r>
      <w:r w:rsidRPr="00D04B9C">
        <w:rPr>
          <w:i/>
          <w:iCs/>
        </w:rPr>
        <w:t>analysis</w:t>
      </w:r>
      <w:r w:rsidRPr="00D04B9C">
        <w:t xml:space="preserve">, and finally </w:t>
      </w:r>
      <w:r w:rsidRPr="00D04B9C">
        <w:rPr>
          <w:i/>
          <w:iCs/>
        </w:rPr>
        <w:t>completion</w:t>
      </w:r>
      <w:r w:rsidRPr="00D04B9C">
        <w:t>. There are instructions for us to complete the automation. You’ll also see live file status updates as we move forward. </w:t>
      </w:r>
    </w:p>
    <w:p w:rsidR="00B00A12" w:rsidP="00D04B9C" w:rsidRDefault="00D04B9C" w14:paraId="59C7FB2B" w14:noSpellErr="1" w14:textId="38F0595C">
      <w:r w:rsidR="3B46AB84">
        <w:rPr/>
        <w:t>Let’s</w:t>
      </w:r>
      <w:r w:rsidR="3B46AB84">
        <w:rPr/>
        <w:t xml:space="preserve"> begin with the RCM file.  Here we can see a quick preview of the first ten rows.</w:t>
      </w:r>
      <w:r w:rsidR="1AE211DE">
        <w:rPr/>
        <w:t xml:space="preserve"> </w:t>
      </w:r>
      <w:r w:rsidR="3B46AB84">
        <w:rPr/>
        <w:t xml:space="preserve">In this “AI Column Mapping,” </w:t>
      </w:r>
      <w:r w:rsidR="3B46AB84">
        <w:rPr/>
        <w:t>you’ll</w:t>
      </w:r>
      <w:r w:rsidR="3B46AB84">
        <w:rPr/>
        <w:t xml:space="preserve"> notice our AI automatically recognizes different naming patterns, for example, “B</w:t>
      </w:r>
      <w:r w:rsidR="0F0814F0">
        <w:rPr/>
        <w:t>usiness Unit</w:t>
      </w:r>
      <w:r w:rsidR="3B46AB84">
        <w:rPr/>
        <w:t>” mapped to standardized “Entity column. </w:t>
      </w:r>
    </w:p>
    <w:p w:rsidRPr="00D04B9C" w:rsidR="00D04B9C" w:rsidP="00D04B9C" w:rsidRDefault="00D04B9C" w14:paraId="77713652" w14:textId="6382BB9B">
      <w:r w:rsidRPr="00D04B9C">
        <w:br/>
      </w:r>
      <w:r w:rsidRPr="00D04B9C">
        <w:t>Next, let’s upload the Trial Balance file. </w:t>
      </w:r>
      <w:r w:rsidRPr="00D04B9C">
        <w:br/>
      </w:r>
      <w:r w:rsidRPr="00D04B9C">
        <w:t>Again, we get a ten-row preview</w:t>
      </w:r>
      <w:r w:rsidR="00784AFD">
        <w:t>.</w:t>
      </w:r>
      <w:r w:rsidRPr="00D04B9C">
        <w:t xml:space="preserve"> Now both files show as </w:t>
      </w:r>
      <w:r w:rsidRPr="00D04B9C">
        <w:rPr>
          <w:i/>
          <w:iCs/>
        </w:rPr>
        <w:t>Loaded</w:t>
      </w:r>
      <w:r w:rsidRPr="00D04B9C">
        <w:t xml:space="preserve"> in the sidebar. </w:t>
      </w:r>
    </w:p>
    <w:p w:rsidRPr="00D04B9C" w:rsidR="00D04B9C" w:rsidP="00D04B9C" w:rsidRDefault="00D04B9C" w14:paraId="5B7E0712" w14:textId="28811C08">
      <w:r w:rsidRPr="00D04B9C">
        <w:t xml:space="preserve">With both files validated, </w:t>
      </w:r>
      <w:r w:rsidR="00564886">
        <w:t>we</w:t>
      </w:r>
      <w:r w:rsidRPr="00D04B9C">
        <w:t xml:space="preserve">’ll hit the single, centered </w:t>
      </w:r>
      <w:r w:rsidRPr="00D04B9C">
        <w:rPr>
          <w:b/>
          <w:bCs/>
        </w:rPr>
        <w:t>Proceed</w:t>
      </w:r>
      <w:r w:rsidRPr="00D04B9C">
        <w:t xml:space="preserve"> button to move to the configuration step. </w:t>
      </w:r>
    </w:p>
    <w:p w:rsidRPr="00D04B9C" w:rsidR="00D04B9C" w:rsidP="00D04B9C" w:rsidRDefault="00D04B9C" w14:paraId="59F806C7" w14:textId="52BC3850">
      <w:r w:rsidRPr="00D04B9C">
        <w:br/>
      </w:r>
      <w:r w:rsidRPr="00D04B9C">
        <w:t xml:space="preserve">This screen is where we define our </w:t>
      </w:r>
      <w:r w:rsidRPr="00D04B9C">
        <w:rPr>
          <w:i/>
          <w:iCs/>
        </w:rPr>
        <w:t>scope and coverage</w:t>
      </w:r>
      <w:r w:rsidRPr="00D04B9C">
        <w:t>. </w:t>
      </w:r>
      <w:r w:rsidRPr="00D04B9C">
        <w:br/>
      </w:r>
      <w:r w:rsidRPr="00D04B9C">
        <w:t>The slider sets the threshold, meaning entities contributing up to that cumulative percentage are marked “In Scope.” </w:t>
      </w:r>
      <w:r w:rsidRPr="00D04B9C">
        <w:br/>
      </w:r>
      <w:r w:rsidRPr="00D04B9C">
        <w:t>We can select all account types or focus on a few specific ones as needed. </w:t>
      </w:r>
    </w:p>
    <w:p w:rsidRPr="00D04B9C" w:rsidR="00D04B9C" w:rsidP="00D04B9C" w:rsidRDefault="00D04B9C" w14:paraId="0BAF2039" w14:textId="493FE7BC">
      <w:r w:rsidRPr="00D04B9C">
        <w:br/>
      </w:r>
      <w:r w:rsidRPr="00D04B9C">
        <w:t>Before the full analysis, we can optionally run anomaly detection. </w:t>
      </w:r>
      <w:r w:rsidRPr="00D04B9C">
        <w:br/>
      </w:r>
      <w:r w:rsidRPr="00D04B9C">
        <w:t>Let’s do that quickly. </w:t>
      </w:r>
      <w:r w:rsidRPr="00D04B9C">
        <w:br/>
      </w:r>
      <w:r w:rsidRPr="00D04B9C">
        <w:t xml:space="preserve">The AI detects unusual patterns, things like value concentration, missing coverage, or zero-value accounts, and presents a </w:t>
      </w:r>
      <w:r w:rsidRPr="00D04B9C" w:rsidR="007F412A">
        <w:t>short, prioritized</w:t>
      </w:r>
      <w:r w:rsidRPr="00D04B9C">
        <w:t xml:space="preserve"> list right here. </w:t>
      </w:r>
    </w:p>
    <w:p w:rsidRPr="00D04B9C" w:rsidR="00D04B9C" w:rsidP="00D04B9C" w:rsidRDefault="00D04B9C" w14:paraId="5873DA10" w14:textId="77777777">
      <w:r w:rsidRPr="00D04B9C">
        <w:t> </w:t>
      </w:r>
    </w:p>
    <w:p w:rsidRPr="00D04B9C" w:rsidR="00D04B9C" w:rsidP="001343AE" w:rsidRDefault="00D04B9C" w14:noSpellErr="1" w14:paraId="1F344BDE" w14:textId="3BB55147">
      <w:r>
        <w:br/>
      </w:r>
    </w:p>
    <w:p w:rsidRPr="00D04B9C" w:rsidR="00D04B9C" w:rsidP="001343AE" w:rsidRDefault="00D04B9C" w14:paraId="2ABDD182" w14:textId="49B5A07B">
      <w:r w:rsidR="3B46AB84">
        <w:rPr/>
        <w:t xml:space="preserve">Now </w:t>
      </w:r>
      <w:r w:rsidR="3B46AB84">
        <w:rPr/>
        <w:t>let’s</w:t>
      </w:r>
      <w:r w:rsidR="3B46AB84">
        <w:rPr/>
        <w:t xml:space="preserve"> start the complete automation. </w:t>
      </w:r>
      <w:r>
        <w:br/>
      </w:r>
      <w:r w:rsidR="3B46AB84">
        <w:rPr/>
        <w:t xml:space="preserve">Behind the scenes, semantic AI and synonym-based logic </w:t>
      </w:r>
      <w:r w:rsidR="3B46AB84">
        <w:rPr/>
        <w:t>identify</w:t>
      </w:r>
      <w:r w:rsidR="3B46AB84">
        <w:rPr/>
        <w:t xml:space="preserve"> the right controls from the RCM. It relies on Control IDs, process mappings, and our chosen threshold to build </w:t>
      </w:r>
      <w:r w:rsidR="3B46AB84">
        <w:rPr/>
        <w:t>accurate</w:t>
      </w:r>
      <w:r w:rsidR="3B46AB84">
        <w:rPr/>
        <w:t xml:space="preserve"> results. </w:t>
      </w:r>
      <w:r>
        <w:br/>
      </w:r>
      <w:r>
        <w:br/>
      </w:r>
      <w:r w:rsidR="3B46AB84">
        <w:rPr/>
        <w:t>Here’s our results dashboard. </w:t>
      </w:r>
      <w:r>
        <w:br/>
      </w:r>
      <w:r w:rsidR="3B46AB84">
        <w:rPr/>
        <w:t>It summarizes everything, how many account types were analyzed, how many controls were mapped, any flags raised, and what percent of entities are in scope. </w:t>
      </w:r>
      <w:r w:rsidR="0A844095">
        <w:rPr/>
        <w:t xml:space="preserve"> </w:t>
      </w:r>
      <w:r w:rsidR="3B46AB84">
        <w:rPr/>
        <w:t>If there are coverage gaps, AI highlights them right away for quick attention. </w:t>
      </w:r>
      <w:r w:rsidR="3B46AB84">
        <w:rPr/>
        <w:t> </w:t>
      </w:r>
    </w:p>
    <w:p w:rsidRPr="00D04B9C" w:rsidR="00D04B9C" w:rsidP="001343AE" w:rsidRDefault="00D04B9C" w14:paraId="6865703A" w14:textId="58D76199">
      <w:r w:rsidR="1F06D9DF">
        <w:rPr/>
        <w:t>Just after the analysis you can see the generated preview, designed to make review easy.</w:t>
      </w:r>
      <w:r>
        <w:br/>
      </w:r>
      <w:r w:rsidR="1F06D9DF">
        <w:rPr/>
        <w:t>The Account Type Summary supports quick filtering and text search with pagination. You can filter by Entity (e.g., “</w:t>
      </w:r>
      <w:r w:rsidR="2BBEC9E6">
        <w:rPr/>
        <w:t>B</w:t>
      </w:r>
      <w:r w:rsidR="1F06D9DF">
        <w:rPr/>
        <w:t xml:space="preserve">”) to focus only on that </w:t>
      </w:r>
      <w:r w:rsidR="4BBB3E97">
        <w:rPr/>
        <w:t>entity and</w:t>
      </w:r>
      <w:r w:rsidR="1F06D9DF">
        <w:rPr/>
        <w:t xml:space="preserve"> download the current filtered view as a CSV for quick offline review </w:t>
      </w:r>
      <w:r w:rsidR="3B46AB84">
        <w:rPr/>
        <w:t xml:space="preserve">And the </w:t>
      </w:r>
      <w:r w:rsidRPr="571265DF" w:rsidR="3B46AB84">
        <w:rPr>
          <w:b w:val="1"/>
          <w:bCs w:val="1"/>
        </w:rPr>
        <w:t>RCM Combined</w:t>
      </w:r>
      <w:r w:rsidR="3B46AB84">
        <w:rPr/>
        <w:t xml:space="preserve"> view lets you search across Control IDs, Entities, and Descriptions, all organized and searchable. </w:t>
      </w:r>
    </w:p>
    <w:p w:rsidRPr="00D04B9C" w:rsidR="00D04B9C" w:rsidP="00D04B9C" w:rsidRDefault="00D04B9C" w14:noSpellErr="1" w14:paraId="28F465DA" w14:textId="4AC621C8">
      <w:r w:rsidR="3B46AB84">
        <w:rPr/>
        <w:t> </w:t>
      </w:r>
      <w:r>
        <w:br/>
      </w:r>
      <w:r w:rsidR="3B46AB84">
        <w:rPr/>
        <w:t xml:space="preserve">When </w:t>
      </w:r>
      <w:r w:rsidR="3B46AB84">
        <w:rPr/>
        <w:t>you’re done</w:t>
      </w:r>
      <w:r w:rsidR="3B46AB84">
        <w:rPr/>
        <w:t xml:space="preserve"> reviewing, just click to </w:t>
      </w:r>
      <w:r w:rsidR="53756705">
        <w:rPr/>
        <w:t>extract</w:t>
      </w:r>
      <w:r w:rsidR="3B46AB84">
        <w:rPr/>
        <w:t xml:space="preserve"> the </w:t>
      </w:r>
      <w:r w:rsidR="030DC94A">
        <w:rPr/>
        <w:t xml:space="preserve">complete output results in </w:t>
      </w:r>
      <w:r w:rsidRPr="571265DF" w:rsidR="3B46AB84">
        <w:rPr>
          <w:b w:val="1"/>
          <w:bCs w:val="1"/>
        </w:rPr>
        <w:t>Excel</w:t>
      </w:r>
      <w:r w:rsidR="3B46AB84">
        <w:rPr/>
        <w:t xml:space="preserve"> and </w:t>
      </w:r>
      <w:r w:rsidRPr="571265DF" w:rsidR="3B46AB84">
        <w:rPr>
          <w:b w:val="1"/>
          <w:bCs w:val="1"/>
        </w:rPr>
        <w:t>Charts PDF</w:t>
      </w:r>
      <w:r w:rsidR="3B46AB84">
        <w:rPr/>
        <w:t>. The Excel report includes consistent headers, color coding for easy readability, and a “Column Mapping Info” sheet that documents how AI standardized your data for audit transparency. </w:t>
      </w:r>
    </w:p>
    <w:p w:rsidRPr="00D04B9C" w:rsidR="00D04B9C" w:rsidP="571265DF" w:rsidRDefault="00D04B9C" w14:paraId="32887C94" w14:textId="321A6EFA">
      <w:pPr>
        <w:spacing w:before="240" w:beforeAutospacing="off" w:after="240" w:afterAutospacing="off"/>
      </w:pPr>
      <w:r w:rsidR="2F6EC0BC">
        <w:rPr/>
        <w:t>Finally, y</w:t>
      </w:r>
      <w:r w:rsidRPr="571265DF" w:rsidR="56B11445">
        <w:rPr>
          <w:rFonts w:ascii="Aptos" w:hAnsi="Aptos" w:eastAsia="Aptos" w:cs="Aptos"/>
          <w:noProof w:val="0"/>
          <w:sz w:val="24"/>
          <w:szCs w:val="24"/>
          <w:lang w:val="en-US"/>
        </w:rPr>
        <w:t>ou</w:t>
      </w:r>
      <w:r w:rsidRPr="571265DF" w:rsidR="56B11445">
        <w:rPr>
          <w:rFonts w:ascii="Aptos" w:hAnsi="Aptos" w:eastAsia="Aptos" w:cs="Aptos"/>
          <w:noProof w:val="0"/>
          <w:sz w:val="24"/>
          <w:szCs w:val="24"/>
          <w:lang w:val="en-US"/>
        </w:rPr>
        <w:t xml:space="preserve"> can now generate an </w:t>
      </w:r>
      <w:r w:rsidRPr="571265DF" w:rsidR="56B11445">
        <w:rPr>
          <w:rFonts w:ascii="Aptos" w:hAnsi="Aptos" w:eastAsia="Aptos" w:cs="Aptos"/>
          <w:b w:val="1"/>
          <w:bCs w:val="1"/>
          <w:noProof w:val="0"/>
          <w:sz w:val="24"/>
          <w:szCs w:val="24"/>
          <w:lang w:val="en-US"/>
        </w:rPr>
        <w:t xml:space="preserve">Executive Summary, </w:t>
      </w:r>
      <w:r w:rsidRPr="571265DF" w:rsidR="56B11445">
        <w:rPr>
          <w:rFonts w:ascii="Aptos" w:hAnsi="Aptos" w:eastAsia="Aptos" w:cs="Aptos"/>
          <w:noProof w:val="0"/>
          <w:sz w:val="24"/>
          <w:szCs w:val="24"/>
          <w:lang w:val="en-US"/>
        </w:rPr>
        <w:t xml:space="preserve">concise, plain-language insights designed for leadership review. Just below it, the </w:t>
      </w:r>
      <w:r w:rsidRPr="571265DF" w:rsidR="56B11445">
        <w:rPr>
          <w:rFonts w:ascii="Aptos" w:hAnsi="Aptos" w:eastAsia="Aptos" w:cs="Aptos"/>
          <w:b w:val="1"/>
          <w:bCs w:val="1"/>
          <w:noProof w:val="0"/>
          <w:sz w:val="24"/>
          <w:szCs w:val="24"/>
          <w:lang w:val="en-US"/>
        </w:rPr>
        <w:t>Results Q&amp;A</w:t>
      </w:r>
      <w:r w:rsidRPr="571265DF" w:rsidR="56B11445">
        <w:rPr>
          <w:rFonts w:ascii="Aptos" w:hAnsi="Aptos" w:eastAsia="Aptos" w:cs="Aptos"/>
          <w:noProof w:val="0"/>
          <w:sz w:val="24"/>
          <w:szCs w:val="24"/>
          <w:lang w:val="en-US"/>
        </w:rPr>
        <w:t xml:space="preserve"> feature lets you choose from predefined questions to instantly explore your results, either globally or by specific account type.</w:t>
      </w:r>
      <w:r w:rsidRPr="571265DF" w:rsidR="56B11445">
        <w:rPr>
          <w:rFonts w:ascii="Aptos" w:hAnsi="Aptos" w:eastAsia="Aptos" w:cs="Aptos"/>
          <w:noProof w:val="0"/>
          <w:sz w:val="24"/>
          <w:szCs w:val="24"/>
          <w:lang w:val="en-US"/>
        </w:rPr>
        <w:t xml:space="preserve"> For example, </w:t>
      </w:r>
      <w:r w:rsidRPr="571265DF" w:rsidR="67C99C29">
        <w:rPr>
          <w:rFonts w:ascii="Aptos" w:hAnsi="Aptos" w:eastAsia="Aptos" w:cs="Aptos"/>
          <w:noProof w:val="0"/>
          <w:sz w:val="24"/>
          <w:szCs w:val="24"/>
          <w:lang w:val="en-US"/>
        </w:rPr>
        <w:t>let’s</w:t>
      </w:r>
      <w:r w:rsidRPr="571265DF" w:rsidR="67C99C29">
        <w:rPr>
          <w:rFonts w:ascii="Aptos" w:hAnsi="Aptos" w:eastAsia="Aptos" w:cs="Aptos"/>
          <w:noProof w:val="0"/>
          <w:sz w:val="24"/>
          <w:szCs w:val="24"/>
          <w:lang w:val="en-US"/>
        </w:rPr>
        <w:t xml:space="preserve"> </w:t>
      </w:r>
      <w:r w:rsidRPr="571265DF" w:rsidR="56B11445">
        <w:rPr>
          <w:rFonts w:ascii="Aptos" w:hAnsi="Aptos" w:eastAsia="Aptos" w:cs="Aptos"/>
          <w:noProof w:val="0"/>
          <w:sz w:val="24"/>
          <w:szCs w:val="24"/>
          <w:lang w:val="en-US"/>
        </w:rPr>
        <w:t xml:space="preserve">select </w:t>
      </w:r>
      <w:r w:rsidRPr="571265DF" w:rsidR="56B11445">
        <w:rPr>
          <w:rFonts w:ascii="Aptos" w:hAnsi="Aptos" w:eastAsia="Aptos" w:cs="Aptos"/>
          <w:i w:val="1"/>
          <w:iCs w:val="1"/>
          <w:noProof w:val="0"/>
          <w:sz w:val="24"/>
          <w:szCs w:val="24"/>
          <w:lang w:val="en-US"/>
        </w:rPr>
        <w:t>“Accounts Payable”</w:t>
      </w:r>
      <w:r w:rsidRPr="571265DF" w:rsidR="56B11445">
        <w:rPr>
          <w:rFonts w:ascii="Aptos" w:hAnsi="Aptos" w:eastAsia="Aptos" w:cs="Aptos"/>
          <w:noProof w:val="0"/>
          <w:sz w:val="24"/>
          <w:szCs w:val="24"/>
          <w:lang w:val="en-US"/>
        </w:rPr>
        <w:t xml:space="preserve"> from the dropdown and ask, </w:t>
      </w:r>
      <w:r w:rsidRPr="571265DF" w:rsidR="56B11445">
        <w:rPr>
          <w:rFonts w:ascii="Aptos" w:hAnsi="Aptos" w:eastAsia="Aptos" w:cs="Aptos"/>
          <w:i w:val="1"/>
          <w:iCs w:val="1"/>
          <w:noProof w:val="0"/>
          <w:sz w:val="24"/>
          <w:szCs w:val="24"/>
          <w:lang w:val="en-US"/>
        </w:rPr>
        <w:t>“List in-scope entities for selection?”</w:t>
      </w:r>
      <w:r w:rsidRPr="571265DF" w:rsidR="56B11445">
        <w:rPr>
          <w:rFonts w:ascii="Aptos" w:hAnsi="Aptos" w:eastAsia="Aptos" w:cs="Aptos"/>
          <w:noProof w:val="0"/>
          <w:sz w:val="24"/>
          <w:szCs w:val="24"/>
          <w:lang w:val="en-US"/>
        </w:rPr>
        <w:t xml:space="preserve"> to view immediate results. You can even go further</w:t>
      </w:r>
      <w:r w:rsidRPr="571265DF" w:rsidR="02DA166C">
        <w:rPr>
          <w:rFonts w:ascii="Aptos" w:hAnsi="Aptos" w:eastAsia="Aptos" w:cs="Aptos"/>
          <w:noProof w:val="0"/>
          <w:sz w:val="24"/>
          <w:szCs w:val="24"/>
          <w:lang w:val="en-US"/>
        </w:rPr>
        <w:t xml:space="preserve">, </w:t>
      </w:r>
      <w:r w:rsidRPr="571265DF" w:rsidR="56B11445">
        <w:rPr>
          <w:rFonts w:ascii="Aptos" w:hAnsi="Aptos" w:eastAsia="Aptos" w:cs="Aptos"/>
          <w:b w:val="1"/>
          <w:bCs w:val="1"/>
          <w:noProof w:val="0"/>
          <w:sz w:val="24"/>
          <w:szCs w:val="24"/>
          <w:lang w:val="en-US"/>
        </w:rPr>
        <w:t>chat directly with the AI</w:t>
      </w:r>
      <w:r w:rsidRPr="571265DF" w:rsidR="56B11445">
        <w:rPr>
          <w:rFonts w:ascii="Aptos" w:hAnsi="Aptos" w:eastAsia="Aptos" w:cs="Aptos"/>
          <w:noProof w:val="0"/>
          <w:sz w:val="24"/>
          <w:szCs w:val="24"/>
          <w:lang w:val="en-US"/>
        </w:rPr>
        <w:t xml:space="preserve"> to ask follow-up questions like </w:t>
      </w:r>
      <w:r w:rsidRPr="571265DF" w:rsidR="56B11445">
        <w:rPr>
          <w:rFonts w:ascii="Aptos" w:hAnsi="Aptos" w:eastAsia="Aptos" w:cs="Aptos"/>
          <w:i w:val="1"/>
          <w:iCs w:val="1"/>
          <w:noProof w:val="0"/>
          <w:sz w:val="24"/>
          <w:szCs w:val="24"/>
          <w:lang w:val="en-US"/>
        </w:rPr>
        <w:t>“Which account types have the most flags?”</w:t>
      </w:r>
      <w:r w:rsidRPr="571265DF" w:rsidR="56B11445">
        <w:rPr>
          <w:rFonts w:ascii="Aptos" w:hAnsi="Aptos" w:eastAsia="Aptos" w:cs="Aptos"/>
          <w:noProof w:val="0"/>
          <w:sz w:val="24"/>
          <w:szCs w:val="24"/>
          <w:lang w:val="en-US"/>
        </w:rPr>
        <w:t xml:space="preserve"> or rerun a complete analysis instantly</w:t>
      </w:r>
      <w:r w:rsidRPr="571265DF" w:rsidR="56B11445">
        <w:rPr>
          <w:rFonts w:ascii="Aptos" w:hAnsi="Aptos" w:eastAsia="Aptos" w:cs="Aptos"/>
          <w:noProof w:val="0"/>
          <w:sz w:val="24"/>
          <w:szCs w:val="24"/>
          <w:lang w:val="en-US"/>
        </w:rPr>
        <w:t>, all</w:t>
      </w:r>
      <w:r w:rsidRPr="571265DF" w:rsidR="56B11445">
        <w:rPr>
          <w:rFonts w:ascii="Aptos" w:hAnsi="Aptos" w:eastAsia="Aptos" w:cs="Aptos"/>
          <w:noProof w:val="0"/>
          <w:sz w:val="24"/>
          <w:szCs w:val="24"/>
          <w:lang w:val="en-US"/>
        </w:rPr>
        <w:t xml:space="preserve"> without re-uploading any data.</w:t>
      </w:r>
    </w:p>
    <w:p w:rsidRPr="00D04B9C" w:rsidR="00D04B9C" w:rsidP="571265DF" w:rsidRDefault="00D04B9C" w14:paraId="7DB73D73" w14:textId="649CAC21">
      <w:pPr>
        <w:spacing w:before="240" w:beforeAutospacing="off" w:after="240" w:afterAutospacing="off"/>
      </w:pPr>
      <w:r w:rsidRPr="571265DF" w:rsidR="56B11445">
        <w:rPr>
          <w:rFonts w:ascii="Aptos" w:hAnsi="Aptos" w:eastAsia="Aptos" w:cs="Aptos"/>
          <w:noProof w:val="0"/>
          <w:sz w:val="24"/>
          <w:szCs w:val="24"/>
          <w:lang w:val="en-US"/>
        </w:rPr>
        <w:t xml:space="preserve">That’s your </w:t>
      </w:r>
      <w:r w:rsidRPr="571265DF" w:rsidR="56B11445">
        <w:rPr>
          <w:rFonts w:ascii="Aptos" w:hAnsi="Aptos" w:eastAsia="Aptos" w:cs="Aptos"/>
          <w:b w:val="1"/>
          <w:bCs w:val="1"/>
          <w:noProof w:val="0"/>
          <w:sz w:val="24"/>
          <w:szCs w:val="24"/>
          <w:lang w:val="en-US"/>
        </w:rPr>
        <w:t>AI-assisted SOX Audit Automation</w:t>
      </w:r>
      <w:r w:rsidRPr="571265DF" w:rsidR="56B11445">
        <w:rPr>
          <w:rFonts w:ascii="Aptos" w:hAnsi="Aptos" w:eastAsia="Aptos" w:cs="Aptos"/>
          <w:noProof w:val="0"/>
          <w:sz w:val="24"/>
          <w:szCs w:val="24"/>
          <w:lang w:val="en-US"/>
        </w:rPr>
        <w:t>: fast, transparent, and built to make auditors’ lives easier.</w:t>
      </w:r>
    </w:p>
    <w:p w:rsidRPr="00D04B9C" w:rsidR="00D04B9C" w:rsidP="00D04B9C" w:rsidRDefault="00D04B9C" w14:paraId="6DA4A5A3" w14:textId="0C7C84D0"/>
    <w:p w:rsidR="00075DE9" w:rsidRDefault="00075DE9" w14:paraId="08DA9F24" w14:textId="77777777"/>
    <w:sectPr w:rsidR="00075D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2F"/>
    <w:rsid w:val="00075DE9"/>
    <w:rsid w:val="000831AE"/>
    <w:rsid w:val="001343AE"/>
    <w:rsid w:val="00171B2F"/>
    <w:rsid w:val="001C2AF9"/>
    <w:rsid w:val="001C3790"/>
    <w:rsid w:val="00404DDE"/>
    <w:rsid w:val="0045108D"/>
    <w:rsid w:val="005507E2"/>
    <w:rsid w:val="00564886"/>
    <w:rsid w:val="0057536F"/>
    <w:rsid w:val="00631B47"/>
    <w:rsid w:val="00663CAA"/>
    <w:rsid w:val="006B7951"/>
    <w:rsid w:val="006D011B"/>
    <w:rsid w:val="00734D43"/>
    <w:rsid w:val="00784AFD"/>
    <w:rsid w:val="007F412A"/>
    <w:rsid w:val="008D4096"/>
    <w:rsid w:val="00A944C2"/>
    <w:rsid w:val="00AB3DC2"/>
    <w:rsid w:val="00B00A12"/>
    <w:rsid w:val="00B12D43"/>
    <w:rsid w:val="00C66011"/>
    <w:rsid w:val="00C8700D"/>
    <w:rsid w:val="00D04B9C"/>
    <w:rsid w:val="00D156EB"/>
    <w:rsid w:val="00DC0303"/>
    <w:rsid w:val="00E037AE"/>
    <w:rsid w:val="00E62CFD"/>
    <w:rsid w:val="00EE5B8B"/>
    <w:rsid w:val="00F23DFB"/>
    <w:rsid w:val="01A467B9"/>
    <w:rsid w:val="02DA166C"/>
    <w:rsid w:val="030DC94A"/>
    <w:rsid w:val="04852967"/>
    <w:rsid w:val="07736ACC"/>
    <w:rsid w:val="0A844095"/>
    <w:rsid w:val="0F0814F0"/>
    <w:rsid w:val="17BB4A1B"/>
    <w:rsid w:val="18882B47"/>
    <w:rsid w:val="1AE211DE"/>
    <w:rsid w:val="1F06D9DF"/>
    <w:rsid w:val="2BBEC9E6"/>
    <w:rsid w:val="2F6EC0BC"/>
    <w:rsid w:val="3B46AB84"/>
    <w:rsid w:val="3C43A317"/>
    <w:rsid w:val="3F050C07"/>
    <w:rsid w:val="42C1CF11"/>
    <w:rsid w:val="45938F88"/>
    <w:rsid w:val="45CFE2CF"/>
    <w:rsid w:val="4BBB3E97"/>
    <w:rsid w:val="4BED9F77"/>
    <w:rsid w:val="50C3CF17"/>
    <w:rsid w:val="5165282B"/>
    <w:rsid w:val="53756705"/>
    <w:rsid w:val="56B11445"/>
    <w:rsid w:val="571265DF"/>
    <w:rsid w:val="64E6641E"/>
    <w:rsid w:val="67C99C29"/>
    <w:rsid w:val="692F5613"/>
    <w:rsid w:val="72E159AE"/>
    <w:rsid w:val="760CB64E"/>
    <w:rsid w:val="78E9E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70FB"/>
  <w15:chartTrackingRefBased/>
  <w15:docId w15:val="{7BCB5E6C-31AB-42DB-9E1E-373EE67147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71B2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B2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B2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1B2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71B2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71B2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71B2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71B2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71B2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71B2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71B2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71B2F"/>
    <w:rPr>
      <w:rFonts w:eastAsiaTheme="majorEastAsia" w:cstheme="majorBidi"/>
      <w:color w:val="272727" w:themeColor="text1" w:themeTint="D8"/>
    </w:rPr>
  </w:style>
  <w:style w:type="paragraph" w:styleId="Title">
    <w:name w:val="Title"/>
    <w:basedOn w:val="Normal"/>
    <w:next w:val="Normal"/>
    <w:link w:val="TitleChar"/>
    <w:uiPriority w:val="10"/>
    <w:qFormat/>
    <w:rsid w:val="00171B2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71B2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71B2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71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B2F"/>
    <w:pPr>
      <w:spacing w:before="160"/>
      <w:jc w:val="center"/>
    </w:pPr>
    <w:rPr>
      <w:i/>
      <w:iCs/>
      <w:color w:val="404040" w:themeColor="text1" w:themeTint="BF"/>
    </w:rPr>
  </w:style>
  <w:style w:type="character" w:styleId="QuoteChar" w:customStyle="1">
    <w:name w:val="Quote Char"/>
    <w:basedOn w:val="DefaultParagraphFont"/>
    <w:link w:val="Quote"/>
    <w:uiPriority w:val="29"/>
    <w:rsid w:val="00171B2F"/>
    <w:rPr>
      <w:i/>
      <w:iCs/>
      <w:color w:val="404040" w:themeColor="text1" w:themeTint="BF"/>
    </w:rPr>
  </w:style>
  <w:style w:type="paragraph" w:styleId="ListParagraph">
    <w:name w:val="List Paragraph"/>
    <w:basedOn w:val="Normal"/>
    <w:uiPriority w:val="34"/>
    <w:qFormat/>
    <w:rsid w:val="00171B2F"/>
    <w:pPr>
      <w:ind w:left="720"/>
      <w:contextualSpacing/>
    </w:pPr>
  </w:style>
  <w:style w:type="character" w:styleId="IntenseEmphasis">
    <w:name w:val="Intense Emphasis"/>
    <w:basedOn w:val="DefaultParagraphFont"/>
    <w:uiPriority w:val="21"/>
    <w:qFormat/>
    <w:rsid w:val="00171B2F"/>
    <w:rPr>
      <w:i/>
      <w:iCs/>
      <w:color w:val="0F4761" w:themeColor="accent1" w:themeShade="BF"/>
    </w:rPr>
  </w:style>
  <w:style w:type="paragraph" w:styleId="IntenseQuote">
    <w:name w:val="Intense Quote"/>
    <w:basedOn w:val="Normal"/>
    <w:next w:val="Normal"/>
    <w:link w:val="IntenseQuoteChar"/>
    <w:uiPriority w:val="30"/>
    <w:qFormat/>
    <w:rsid w:val="00171B2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71B2F"/>
    <w:rPr>
      <w:i/>
      <w:iCs/>
      <w:color w:val="0F4761" w:themeColor="accent1" w:themeShade="BF"/>
    </w:rPr>
  </w:style>
  <w:style w:type="character" w:styleId="IntenseReference">
    <w:name w:val="Intense Reference"/>
    <w:basedOn w:val="DefaultParagraphFont"/>
    <w:uiPriority w:val="32"/>
    <w:qFormat/>
    <w:rsid w:val="00171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585930">
      <w:bodyDiv w:val="1"/>
      <w:marLeft w:val="0"/>
      <w:marRight w:val="0"/>
      <w:marTop w:val="0"/>
      <w:marBottom w:val="0"/>
      <w:divBdr>
        <w:top w:val="none" w:sz="0" w:space="0" w:color="auto"/>
        <w:left w:val="none" w:sz="0" w:space="0" w:color="auto"/>
        <w:bottom w:val="none" w:sz="0" w:space="0" w:color="auto"/>
        <w:right w:val="none" w:sz="0" w:space="0" w:color="auto"/>
      </w:divBdr>
    </w:div>
    <w:div w:id="204636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EXL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Shikha Jain</dc:creator>
  <keywords/>
  <dc:description/>
  <lastModifiedBy>Purvansh Jain</lastModifiedBy>
  <revision>28</revision>
  <dcterms:created xsi:type="dcterms:W3CDTF">2025-10-16T14:50:00.0000000Z</dcterms:created>
  <dcterms:modified xsi:type="dcterms:W3CDTF">2025-10-22T05:10:54.0730857Z</dcterms:modified>
</coreProperties>
</file>