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A1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Q1. Explain the working Principle of Lift.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Q2. Which GPIO’s you have used for the connections.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Q3. Draw Interfacing diagram of BBB and Losun kit for Lift.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A2 :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Q1. Explain the working Principle of Signal Lights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Q2. Which GPIO’s you have used for the connections.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Q3. Draw Interfacing diagram of BBB and Losun kit for signal lights.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B1 :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Q1. Which GPIO’s you have used for the connections.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Q2. Draw Interfacing diagram of BBB and CRO.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B8 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Q1. Write stepwise procedure to change IP address.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Q2. Explain Socket and Client server working model.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Q3. Draw Interfacing Diagram.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C1 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rtl w:val="0"/>
        </w:rPr>
        <w:t xml:space="preserve">Explain working principle of stepper motor.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Q2. What are the applications of Stepper Motor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