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2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80"/>
              <w:left w:type="dxa" w:w="360"/>
              <w:bottom w:type="dxa" w:w="280"/>
              <w:right w:type="dxa" w:w="360"/>
            </w:tcMar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93C5FD"/>
                <w:spacing w:val="100"/>
                <w:sz w:val="18"/>
                <w:szCs w:val="18"/>
              </w:rPr>
              <w:t xml:space="preserve">TAKE-HOME ASSIGNMENT</w:t>
            </w:r>
          </w:p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8"/>
                <w:szCs w:val="48"/>
              </w:rPr>
              <w:t xml:space="preserve">AI Knowledge Vault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94A3B8"/>
                <w:sz w:val="20"/>
                <w:szCs w:val="20"/>
              </w:rPr>
              <w:t xml:space="preserve">Full-Stack Engineer  —  24-Hour Window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DB"/>
                <w:sz w:val="19"/>
                <w:szCs w:val="19"/>
              </w:rPr>
              <w:t xml:space="preserve">Next.js  ·  Node.js  ·  MongoDB</w:t>
            </w:r>
          </w:p>
        </w:tc>
        <w:tc>
          <w:tcPr>
            <w:tcW w:type="dxa" w:w="3360"/>
            <w:tcBorders>
              <w:top w:val="single" w:color="6EE7B7" w:sz="1"/>
              <w:left w:val="single" w:color="6EE7B7" w:sz="1"/>
              <w:bottom w:val="single" w:color="6EE7B7" w:sz="1"/>
              <w:right w:val="single" w:color="6EE7B7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9"/>
                <w:szCs w:val="19"/>
              </w:rPr>
              <w:t xml:space="preserve">OpenRouter API</w:t>
            </w:r>
          </w:p>
        </w:tc>
        <w:tc>
          <w:tcPr>
            <w:tcW w:type="dxa" w:w="3360"/>
            <w:tcBorders>
              <w:top w:val="single" w:color="FDE68A" w:sz="1"/>
              <w:left w:val="single" w:color="FDE68A" w:sz="1"/>
              <w:bottom w:val="single" w:color="FDE68A" w:sz="1"/>
              <w:right w:val="single" w:color="FDE68A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9"/>
                <w:szCs w:val="19"/>
              </w:rPr>
              <w:t xml:space="preserve">Time Limit: 24 Hours</w:t>
            </w:r>
          </w:p>
        </w:tc>
      </w:tr>
    </w:tbl>
    <w:p>
      <w:pPr>
        <w:spacing w:after="0" w:before="240"/>
      </w:pPr>
      <w:r>
        <w:t xml:space="preserve"/>
      </w:r>
    </w:p>
    <w:p>
      <w:pPr>
        <w:pStyle w:val="Heading1"/>
        <w:pBdr>
          <w:bottom w:val="single" w:color="1A56DB" w:sz="3" w:space="6"/>
        </w:pBdr>
        <w:spacing w:after="100" w:before="36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1. Overview</w:t>
      </w:r>
    </w:p>
    <w:p>
      <w:pPr>
        <w:spacing w:after="80" w:before="6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Build a full-stack AI-powered knowledge management system. Users create long-form notes, the system processes them asynchronously using AI, and users can query their notes through a chat-like interface.</w:t>
      </w:r>
    </w:p>
    <w:p>
      <w:pPr>
        <w:spacing w:after="0" w:before="8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1E293B"/>
          <w:sz w:val="21"/>
          <w:szCs w:val="21"/>
        </w:rPr>
        <w:t xml:space="preserve">This is not a basic CRUD exercise. We are evaluating:</w:t>
      </w:r>
    </w:p>
    <w:p>
      <w:pPr>
        <w:pStyle w:val="ListParagraph"/>
        <w:numPr>
          <w:ilvl w:val="0"/>
          <w:numId w:val="2"/>
        </w:numPr>
        <w:spacing w:after="40" w:before="40"/>
        <w:ind w:left="54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How you design async workflows</w:t>
      </w:r>
    </w:p>
    <w:p>
      <w:pPr>
        <w:pStyle w:val="ListParagraph"/>
        <w:numPr>
          <w:ilvl w:val="0"/>
          <w:numId w:val="2"/>
        </w:numPr>
        <w:spacing w:after="40" w:before="40"/>
        <w:ind w:left="54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How you structure and use AI calls</w:t>
      </w:r>
    </w:p>
    <w:p>
      <w:pPr>
        <w:pStyle w:val="ListParagraph"/>
        <w:numPr>
          <w:ilvl w:val="0"/>
          <w:numId w:val="2"/>
        </w:numPr>
        <w:spacing w:after="40" w:before="40"/>
        <w:ind w:left="54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How you handle loading, errors, and edge cases in the frontend</w:t>
      </w:r>
    </w:p>
    <w:p>
      <w:pPr>
        <w:spacing w:after="0" w:before="240"/>
      </w:pPr>
      <w:r>
        <w:t xml:space="preserve"/>
      </w:r>
    </w:p>
    <w:p>
      <w:pPr>
        <w:pStyle w:val="Heading1"/>
        <w:pBdr>
          <w:bottom w:val="single" w:color="1A56DB" w:sz="3" w:space="6"/>
        </w:pBdr>
        <w:spacing w:after="100" w:before="36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2. Core Features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56DB"/>
          <w:sz w:val="22"/>
          <w:szCs w:val="22"/>
        </w:rPr>
        <w:t xml:space="preserve">2.1  Notes CRUD</w:t>
      </w:r>
    </w:p>
    <w:p>
      <w:pPr>
        <w:spacing w:after="80" w:before="6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Create, list, view, and delete notes. Each note document: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{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  "_id":       ObjectId,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  "title":     String,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  "content":   String,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  "status":    "processing" | "ready",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  "createdAt": Date,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  "summary":   String,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  "keyPoints": [String],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  "tags":      [String]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Endpoint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33415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GET  /notes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List all notes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POST  /notes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Create a note and trigger AI processing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GET  /notes/:id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Get full note detail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DELETE  /notes/:id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Delete a note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56DB"/>
          <w:sz w:val="22"/>
          <w:szCs w:val="22"/>
        </w:rPr>
        <w:t xml:space="preserve">2.2  Background AI Processing</w:t>
      </w:r>
    </w:p>
    <w:p>
      <w:pPr>
        <w:spacing w:after="80" w:before="6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When a note is created, AI processing must not block the HTTP response.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Save note with status: "processing", return response immediately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Trigger async processing outside the request cycle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AI generates summary, key points (3–5), and tags (3–5)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Write results to DB, update status to "ready"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AI output format: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{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  "summary":   "String",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  "keyPoints": ["point1", "point2", "point3"],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  "tags":      ["tag1", "tag2", "tag3"]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1E293B"/>
          <w:sz w:val="21"/>
          <w:szCs w:val="21"/>
        </w:rPr>
        <w:t xml:space="preserve">Prompt requirements:</w:t>
      </w:r>
    </w:p>
    <w:p>
      <w:pPr>
        <w:pStyle w:val="ListParagraph"/>
        <w:numPr>
          <w:ilvl w:val="0"/>
          <w:numId w:val="2"/>
        </w:numPr>
        <w:spacing w:after="40" w:before="40"/>
        <w:ind w:left="54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Instruct the model to return valid JSON only — no prose or markdown fences</w:t>
      </w:r>
    </w:p>
    <w:p>
      <w:pPr>
        <w:pStyle w:val="ListParagraph"/>
        <w:numPr>
          <w:ilvl w:val="0"/>
          <w:numId w:val="2"/>
        </w:numPr>
        <w:spacing w:after="40" w:before="40"/>
        <w:ind w:left="54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Constrain output length explicitly in the prompt</w:t>
      </w:r>
    </w:p>
    <w:p>
      <w:pPr>
        <w:pStyle w:val="ListParagraph"/>
        <w:numPr>
          <w:ilvl w:val="0"/>
          <w:numId w:val="2"/>
        </w:numPr>
        <w:spacing w:after="40" w:before="40"/>
        <w:ind w:left="54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Handle malformed AI responses gracefully — a bad response should not leave a note stuck in "processing" permanently</w:t>
      </w:r>
    </w:p>
    <w:p>
      <w:pPr>
        <w:spacing w:after="0" w:before="20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56DB"/>
          <w:sz w:val="22"/>
          <w:szCs w:val="22"/>
        </w:rPr>
        <w:t xml:space="preserve">2.3  Smart Query</w:t>
      </w:r>
    </w:p>
    <w:p>
      <w:pPr>
        <w:spacing w:after="80" w:before="6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Users can ask questions about a specific note.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POST /notes/:id/query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Body:    { "question": "What decisions were made?" }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Response:{ "answer": "..." }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Combine the original note content with its summary and key points before sending to OpenRouter. Do not send raw content blindly.</w:t>
      </w:r>
    </w:p>
    <w:p>
      <w:pPr>
        <w:spacing w:after="0" w:before="240"/>
      </w:pPr>
      <w:r>
        <w:t xml:space="preserve"/>
      </w:r>
    </w:p>
    <w:p>
      <w:pPr>
        <w:pStyle w:val="Heading1"/>
        <w:pBdr>
          <w:bottom w:val="single" w:color="1A56DB" w:sz="3" w:space="6"/>
        </w:pBdr>
        <w:spacing w:after="100" w:before="36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3. Frontend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Route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33415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FFFFFF"/>
                <w:sz w:val="19"/>
                <w:szCs w:val="19"/>
              </w:rPr>
              <w:t xml:space="preserve">Purpose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/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Notes list — show status (processing / ready)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/new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Create note form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/notes/[id]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Detail page — summary, key points, tags, query UI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1E293B"/>
          <w:sz w:val="21"/>
          <w:szCs w:val="21"/>
        </w:rPr>
        <w:t xml:space="preserve">The detail page must include:</w:t>
      </w:r>
    </w:p>
    <w:p>
      <w:pPr>
        <w:pStyle w:val="ListParagraph"/>
        <w:numPr>
          <w:ilvl w:val="0"/>
          <w:numId w:val="2"/>
        </w:numPr>
        <w:spacing w:after="40" w:before="40"/>
        <w:ind w:left="54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Auto-generated summary, key points, and tags</w:t>
      </w:r>
    </w:p>
    <w:p>
      <w:pPr>
        <w:pStyle w:val="ListParagraph"/>
        <w:numPr>
          <w:ilvl w:val="0"/>
          <w:numId w:val="2"/>
        </w:numPr>
        <w:spacing w:after="40" w:before="40"/>
        <w:ind w:left="54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A chat-like input for querying the note</w:t>
      </w:r>
    </w:p>
    <w:p>
      <w:pPr>
        <w:pStyle w:val="ListParagraph"/>
        <w:numPr>
          <w:ilvl w:val="0"/>
          <w:numId w:val="2"/>
        </w:numPr>
        <w:spacing w:after="40" w:before="40"/>
        <w:ind w:left="54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Processing state indicator — query UI disabled while AI is working</w:t>
      </w:r>
    </w:p>
    <w:p>
      <w:pPr>
        <w:spacing w:after="0" w:before="8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1E293B"/>
          <w:sz w:val="21"/>
          <w:szCs w:val="21"/>
        </w:rPr>
        <w:t xml:space="preserve">State handling requirements:</w:t>
      </w:r>
    </w:p>
    <w:p>
      <w:pPr>
        <w:pStyle w:val="ListParagraph"/>
        <w:numPr>
          <w:ilvl w:val="0"/>
          <w:numId w:val="2"/>
        </w:numPr>
        <w:spacing w:after="40" w:before="40"/>
        <w:ind w:left="54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Show a clear indicator when a note is still processing</w:t>
      </w:r>
    </w:p>
    <w:p>
      <w:pPr>
        <w:pStyle w:val="ListParagraph"/>
        <w:numPr>
          <w:ilvl w:val="0"/>
          <w:numId w:val="2"/>
        </w:numPr>
        <w:spacing w:after="40" w:before="40"/>
        <w:ind w:left="54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Disable the query input while an AI call is in-flight</w:t>
      </w:r>
    </w:p>
    <w:p>
      <w:pPr>
        <w:pStyle w:val="ListParagraph"/>
        <w:numPr>
          <w:ilvl w:val="0"/>
          <w:numId w:val="2"/>
        </w:numPr>
        <w:spacing w:after="40" w:before="40"/>
        <w:ind w:left="54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Surface errors explicitly — do not silently show empty fields</w:t>
      </w:r>
    </w:p>
    <w:p>
      <w:pPr>
        <w:spacing w:after="0" w:before="240"/>
      </w:pPr>
      <w:r>
        <w:t xml:space="preserve"/>
      </w:r>
    </w:p>
    <w:p>
      <w:pPr>
        <w:pStyle w:val="Heading1"/>
        <w:pBdr>
          <w:bottom w:val="single" w:color="1A56DB" w:sz="3" w:space="6"/>
        </w:pBdr>
        <w:spacing w:after="100" w:before="36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4. Architecture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Layer</w:t>
            </w:r>
          </w:p>
        </w:tc>
        <w:tc>
          <w:tcPr>
            <w:tcW w:type="dxa" w:w="6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33415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FFFFFF"/>
                <w:sz w:val="19"/>
                <w:szCs w:val="19"/>
              </w:rPr>
              <w:t xml:space="preserve">Responsibility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Route handlers</w:t>
            </w:r>
          </w:p>
        </w:tc>
        <w:tc>
          <w:tcPr>
            <w:tcW w:type="dxa" w:w="6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HTTP only — no business logic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Service layer</w:t>
            </w:r>
          </w:p>
        </w:tc>
        <w:tc>
          <w:tcPr>
            <w:tcW w:type="dxa" w:w="6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All AI calls, prompt construction, output parsing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Data layer</w:t>
            </w:r>
          </w:p>
        </w:tc>
        <w:tc>
          <w:tcPr>
            <w:tcW w:type="dxa" w:w="6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MongoDB queries isolated from application logic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The AI service is the most important part of this codebase. Prompt structure, output parsing, and failure handling will be reviewed in detail.</w:t>
      </w:r>
    </w:p>
    <w:p>
      <w:pPr>
        <w:spacing w:after="0" w:before="240"/>
      </w:pPr>
      <w:r>
        <w:t xml:space="preserve"/>
      </w:r>
    </w:p>
    <w:p>
      <w:pPr>
        <w:pStyle w:val="Heading1"/>
        <w:pBdr>
          <w:bottom w:val="single" w:color="1A56DB" w:sz="3" w:space="6"/>
        </w:pBdr>
        <w:spacing w:after="100" w:before="36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5. Optional Extensions</w:t>
      </w:r>
    </w:p>
    <w:p>
      <w:pPr>
        <w:spacing w:after="80" w:before="6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Pick one or two if time permits. Doing one well is better than doing three poorly.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DE68A" w:sz="1"/>
              <w:left w:val="single" w:color="FDE68A" w:sz="1"/>
              <w:bottom w:val="single" w:color="FDE68A" w:sz="1"/>
              <w:right w:val="single" w:color="FDE68A" w:sz="1"/>
            </w:tcBorders>
            <w:shd w:fill="FFFBEB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Streaming query responses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Tag-based note search / filtering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AI output caching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Rate limiting on AI endpoints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Docker Compose setup</w:t>
            </w:r>
          </w:p>
        </w:tc>
      </w:tr>
    </w:tbl>
    <w:p>
      <w:pPr>
        <w:spacing w:after="0" w:before="240"/>
      </w:pPr>
      <w:r>
        <w:t xml:space="preserve"/>
      </w:r>
    </w:p>
    <w:p>
      <w:pPr>
        <w:pStyle w:val="Heading1"/>
        <w:pBdr>
          <w:bottom w:val="single" w:color="1A56DB" w:sz="3" w:space="6"/>
        </w:pBdr>
        <w:spacing w:after="100" w:before="36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6. Deliverables</w:t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1E293B"/>
          <w:sz w:val="21"/>
          <w:szCs w:val="21"/>
        </w:rPr>
        <w:t xml:space="preserve">All three are required. Missing any one of them means the submission will not be reviewed.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Deliverable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33415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FFFFFF"/>
                <w:sz w:val="19"/>
                <w:szCs w:val="19"/>
              </w:rPr>
              <w:t xml:space="preserve">Requirements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GitHub Repo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Clean commit history, frontend/backend separated, no secrets committed, .env.example included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Deployed Application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Live frontend URL + working backend API — must be fully functional at submission time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README.md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Setup instructions, how async processing works, AI prompt strategy, trade-offs made</w:t>
            </w:r>
          </w:p>
        </w:tc>
      </w:tr>
    </w:tbl>
    <w:p>
      <w:pPr>
        <w:spacing w:after="0" w:before="240"/>
      </w:pPr>
      <w:r>
        <w:t xml:space="preserve"/>
      </w:r>
    </w:p>
    <w:p>
      <w:pPr>
        <w:pStyle w:val="Heading1"/>
        <w:pBdr>
          <w:bottom w:val="single" w:color="1A56DB" w:sz="3" w:space="6"/>
        </w:pBdr>
        <w:spacing w:after="100" w:before="36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7. Evaluation Criteria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Area</w:t>
            </w:r>
          </w:p>
        </w:tc>
        <w:tc>
          <w:tcPr>
            <w:tcW w:type="dxa" w:w="6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33415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FFFFFF"/>
                <w:sz w:val="19"/>
                <w:szCs w:val="19"/>
              </w:rPr>
              <w:t xml:space="preserve">What we look at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System Design</w:t>
            </w:r>
          </w:p>
        </w:tc>
        <w:tc>
          <w:tcPr>
            <w:tcW w:type="dxa" w:w="6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Async processing correctness, extensibility of architecture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AI Integration</w:t>
            </w:r>
          </w:p>
        </w:tc>
        <w:tc>
          <w:tcPr>
            <w:tcW w:type="dxa" w:w="6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Prompt quality, output parsing, failure handling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Code Quality</w:t>
            </w:r>
          </w:p>
        </w:tc>
        <w:tc>
          <w:tcPr>
            <w:tcW w:type="dxa" w:w="6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Structure, readability, layering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Frontend</w:t>
            </w:r>
          </w:p>
        </w:tc>
        <w:tc>
          <w:tcPr>
            <w:tcW w:type="dxa" w:w="6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State handling, loading/error UX, query interface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Execution</w:t>
            </w:r>
          </w:p>
        </w:tc>
        <w:tc>
          <w:tcPr>
            <w:tcW w:type="dxa" w:w="6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Does the deployed app work end-to-end?</w:t>
            </w:r>
          </w:p>
        </w:tc>
      </w:tr>
    </w:tbl>
    <w:p>
      <w:pPr>
        <w:spacing w:after="0" w:before="24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EFF6FF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1"/>
                <w:szCs w:val="21"/>
              </w:rPr>
              <w:t xml:space="preserve">Submit your GitHub repo link and deployed app URL within 24 hours.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64748B"/>
                <w:sz w:val="19"/>
                <w:szCs w:val="19"/>
              </w:rPr>
              <w:t xml:space="preserve">You are free to use AI tools — you will be asked to walk through your implementation in the technical debrief.</w:t>
            </w:r>
          </w:p>
        </w:tc>
      </w:tr>
    </w:tbl>
    <w:p>
      <w:pPr>
        <w:spacing w:after="0" w:before="60"/>
      </w:pPr>
      <w:r>
        <w:t xml:space="preserve"/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E8F0" w:sz="2" w:space="8"/>
      </w:pBdr>
    </w:pPr>
    <w:r>
      <w:rPr>
        <w:rFonts w:ascii="Arial" w:cs="Arial" w:eastAsia="Arial" w:hAnsi="Arial"/>
        <w:i/>
        <w:iCs/>
        <w:color w:val="64748B"/>
        <w:sz w:val="16"/>
        <w:szCs w:val="16"/>
      </w:rPr>
      <w:t xml:space="preserve">Internal — Do not distribute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1008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6000"/>
      <w:gridCol w:w="4080"/>
    </w:tblGrid>
    <w:tr>
      <w:tc>
        <w:tcPr>
          <w:tcW w:type="dxa" w:w="6000"/>
          <w:tcBorders>
            <w:top w:val="none" w:color="FFFFFF" w:sz="0"/>
            <w:left w:val="none" w:color="FFFFFF" w:sz="0"/>
            <w:bottom w:val="single" w:color="1A56DB" w:sz="3"/>
            <w:right w:val="none" w:color="FFFFFF" w:sz="0"/>
          </w:tcBorders>
          <w:tcMar>
            <w:bottom w:type="dxa" w:w="80"/>
          </w:tcMar>
        </w:tcPr>
        <w:p>
          <w:r>
            <w:rPr>
              <w:rFonts w:ascii="Arial" w:cs="Arial" w:eastAsia="Arial" w:hAnsi="Arial"/>
              <w:color w:val="64748B"/>
              <w:sz w:val="17"/>
              <w:szCs w:val="17"/>
            </w:rPr>
            <w:t xml:space="preserve">Take-Home Assignment  —  Confidential</w:t>
          </w:r>
        </w:p>
      </w:tc>
      <w:tc>
        <w:tcPr>
          <w:tcW w:type="dxa" w:w="4080"/>
          <w:tcBorders>
            <w:top w:val="none" w:color="FFFFFF" w:sz="0"/>
            <w:left w:val="none" w:color="FFFFFF" w:sz="0"/>
            <w:bottom w:val="single" w:color="1A56DB" w:sz="3"/>
            <w:right w:val="none" w:color="FFFFFF" w:sz="0"/>
          </w:tcBorders>
          <w:tcMar>
            <w:bottom w:type="dxa" w:w="80"/>
          </w:tcMar>
        </w:tcPr>
        <w:p>
          <w:pPr>
            <w:jc w:val="right"/>
          </w:pPr>
          <w:r>
            <w:rPr>
              <w:rFonts w:ascii="Arial" w:cs="Arial" w:eastAsia="Arial" w:hAnsi="Arial"/>
              <w:b/>
              <w:bCs/>
              <w:color w:val="1A56DB"/>
              <w:sz w:val="17"/>
              <w:szCs w:val="17"/>
            </w:rPr>
            <w:t xml:space="preserve">AI Knowledge Vault  |  Full-Stack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00" w:before="360"/>
      <w:outlineLvl w:val="0"/>
    </w:pPr>
    <w:rPr>
      <w:rFonts w:ascii="Arial" w:cs="Arial" w:eastAsia="Arial" w:hAnsi="Arial"/>
      <w:b/>
      <w:bCs/>
      <w:color w:val="1E293B"/>
      <w:sz w:val="26"/>
      <w:szCs w:val="26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1A56DB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2026-05-04T05:39:02.990Z</dcterms:created>
  <dcterms:modified xsi:type="dcterms:W3CDTF">2026-05-04T05:39:03.011Z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