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160"/>
        <w:jc w:val="center"/>
      </w:pPr>
      <w:r>
        <w:rPr>
          <w:b/>
          <w:bCs/>
          <w:sz w:val="30"/>
          <w:szCs w:val="30"/>
        </w:rPr>
        <w:t>Fragmentation, not heterogeneity, drives the accuracy cost of federated household load forecasting</w:t>
      </w:r>
    </w:p>
    <w:p>
      <w:pPr>
        <w:spacing w:after="60"/>
        <w:jc w:val="center"/>
      </w:pPr>
      <w:r>
        <w:rPr>
          <w:sz w:val="22"/>
          <w:szCs w:val="22"/>
        </w:rPr>
        <w:t xml:space="preserve">Pushkal Gupta</w:t>
      </w:r>
      <w:r>
        <w:rPr>
          <w:sz w:val="16"/>
          <w:szCs w:val="16"/>
          <w:vertAlign w:val="superscript"/>
        </w:rPr>
        <w:t>1,*</w:t>
      </w:r>
      <w:r>
        <w:rPr>
          <w:sz w:val="22"/>
          <w:szCs w:val="22"/>
        </w:rPr>
        <w:t xml:space="preserve">, Vanka Kaushik</w:t>
      </w:r>
      <w:r>
        <w:rPr>
          <w:sz w:val="16"/>
          <w:szCs w:val="16"/>
          <w:vertAlign w:val="superscript"/>
        </w:rPr>
        <w:t>1</w:t>
      </w:r>
      <w:r>
        <w:rPr>
          <w:sz w:val="22"/>
          <w:szCs w:val="22"/>
        </w:rPr>
        <w:t xml:space="preserve">, Kalaavathi B</w:t>
      </w:r>
      <w:r>
        <w:rPr>
          <w:sz w:val="16"/>
          <w:szCs w:val="16"/>
          <w:vertAlign w:val="superscript"/>
        </w:rPr>
        <w:t>1</w:t>
      </w:r>
    </w:p>
    <w:p>
      <w:pPr>
        <w:spacing w:after="40"/>
        <w:jc w:val="center"/>
      </w:pPr>
      <w:r>
        <w:rPr>
          <w:sz w:val="16"/>
          <w:szCs w:val="16"/>
          <w:vertAlign w:val="superscript"/>
        </w:rPr>
        <w:t>1</w:t>
      </w:r>
      <w:r>
        <w:rPr>
          <w:i/>
          <w:iCs/>
          <w:sz w:val="19"/>
          <w:szCs w:val="19"/>
        </w:rPr>
        <w:t xml:space="preserve"> Department of Internet of Things, School of Computer Science and Engineering, Vellore Institute of Technology, Vellore 632014, Tamil Nadu, India</w:t>
      </w:r>
    </w:p>
    <w:p>
      <w:pPr>
        <w:spacing w:after="40"/>
        <w:jc w:val="center"/>
      </w:pPr>
      <w:r>
        <w:rPr>
          <w:i/>
          <w:iCs/>
          <w:sz w:val="19"/>
          <w:szCs w:val="19"/>
        </w:rPr>
        <w:t>* Corresponding author: pushkal.gupta2023@vitstudent.ac.in (alternate: pushkalgupta2005@gmail.com)</w:t>
      </w:r>
    </w:p>
    <w:p>
      <w:pPr>
        <w:spacing w:after="40"/>
        <w:jc w:val="center"/>
      </w:pPr>
      <w:r>
        <w:rPr>
          <w:i/>
          <w:iCs/>
          <w:sz w:val="19"/>
          <w:szCs w:val="19"/>
        </w:rPr>
        <w:t>E-mail addresses: vanka.kaushik2023@vitstudent.ac.in (V. Kaushik), kalaavathi.b@vit.ac.in (Kalaavathi B)</w:t>
      </w:r>
    </w:p>
    <w:p>
      <w:pPr>
        <w:spacing w:after="240"/>
        <w:jc w:val="center"/>
      </w:pPr>
      <w:r>
        <w:rPr>
          <w:i/>
          <w:iCs/>
          <w:sz w:val="19"/>
          <w:szCs w:val="19"/>
        </w:rPr>
        <w:t>ORCID: 0009-0004-7032-6847 (Pushkal Gupta)</w:t>
      </w:r>
    </w:p>
    <w:p>
      <w:pPr>
        <w:spacing w:before="120" w:after="100"/>
      </w:pPr>
      <w:r>
        <w:rPr>
          <w:b/>
          <w:bCs/>
          <w:color w:val="1F3864"/>
          <w:sz w:val="24"/>
          <w:szCs w:val="24"/>
        </w:rPr>
        <w:t>Abstract</w:t>
      </w:r>
    </w:p>
    <w:p>
      <w:pPr>
        <w:spacing w:after="120" w:line="276" w:lineRule="auto"/>
        <w:jc w:val="both"/>
      </w:pPr>
      <w:r>
        <w:rPr>
          <w:sz w:val="22"/>
          <w:szCs w:val="22"/>
        </w:rPr>
        <w:t xml:space="preserve">Federated learning (FL) is widely proposed for household load forecasting because smart-meter readings never leave the home. Its accuracy loss is usually blamed on differences between households, and its bandwidth advantage over collecting the data is usually assumed rather than measured. This study separated these effects under controlled conditions. One hundred standard-tariff London households from the Low Carbon London trial, one chronological test period, one long short-term memory (LSTM) forecaster and one training budget were held fixed, and a single factor was changed at a time: the number of clients the homes were split over, the heterogeneity between clients (dialled over real load-profile clusters and measured directly), client participation, the aggregation rule and the precision of the transmitted updates. Every byte exchanged was counted, and households were compared pairwise. Federated training on a single client matched centralised accuracy (mean absolute error 0.0808 against 0.0811 kWh). The gap grew with fragmentation, from 2.0 % with five clients to 10.3 % with one client per home. Heterogeneity at a fixed number of clients changed final error by at most 0.0012 kWh but raised the traffic needed to approach centralised accuracy by about 85 %, and federated training moved more bytes than uploading the raw readings. Plain federated averaging left 66 % of households worse off than local models; one epoch of local fine-tuning reduced this to 48 %. Operators and aggregators should therefore federate a few aggregated clients, fine-tune locally and treat federation as a governance choice rather than a bandwidth saving.</w:t>
      </w:r>
    </w:p>
    <w:p>
      <w:pPr>
        <w:spacing w:before="160" w:after="240"/>
      </w:pPr>
      <w:r>
        <w:rPr>
          <w:b/>
          <w:bCs/>
          <w:sz w:val="22"/>
          <w:szCs w:val="22"/>
        </w:rPr>
        <w:t xml:space="preserve">Keywords: </w:t>
      </w:r>
      <w:r>
        <w:rPr>
          <w:sz w:val="22"/>
          <w:szCs w:val="22"/>
        </w:rPr>
        <w:t>smart meters; long short-term memory; non-IID data; communication efficiency; Low Carbon London; personalisation</w:t>
      </w:r>
    </w:p>
    <w:p>
      <w:pPr>
        <w:pStyle w:val="2"/>
        <w:keepNext/>
        <w:spacing w:before="320" w:after="120"/>
      </w:pPr>
      <w:r>
        <w:rPr>
          <w:b/>
          <w:bCs/>
          <w:color w:val="1F3864"/>
          <w:sz w:val="26"/>
          <w:szCs w:val="26"/>
        </w:rPr>
        <w:t xml:space="preserve">1. Introduction</w:t>
      </w:r>
    </w:p>
    <w:p>
      <w:pPr>
        <w:spacing w:after="120" w:line="276" w:lineRule="auto"/>
        <w:jc w:val="both"/>
      </w:pPr>
      <w:r>
        <w:rPr>
          <w:sz w:val="22"/>
          <w:szCs w:val="22"/>
        </w:rPr>
        <w:t xml:space="preserve">Short-term forecasts of the load of a single household feed demand response, home energy management, local flexibility markets and the operation of low-voltage networks that now host heat pumps, electric vehicles and rooftop photovoltaics. Long short-term memory (LSTM) networks [1] forecast individual homes better than per-home statistical models when they are trained on many households at once [2], [3], but pooling the readings is exactly what smart-meter regulation and customer consent discourage, because half-hourly consumption reveals occupancy and daily routines.</w:t>
      </w:r>
    </w:p>
    <w:p>
      <w:pPr>
        <w:spacing w:after="120" w:line="276" w:lineRule="auto"/>
        <w:jc w:val="both"/>
      </w:pPr>
      <w:r>
        <w:rPr>
          <w:sz w:val="22"/>
          <w:szCs w:val="22"/>
        </w:rPr>
        <w:t xml:space="preserve">Federated learning (FL) [4], [5] lets each meter, home gateway or community energy hub train on its own data and send only model weights to an aggregator. Its use for residential load forecasting is growing [6]–[12], built on two premises: that household data are so heterogeneous (non-IID) that plain federated averaging (FedAvg) needs remedies such as FedProx [13], clustering [8], [14] or personalisation [9], [10], and that FL is the communication-light option [15], [16].</w:t>
      </w:r>
    </w:p>
    <w:p>
      <w:pPr>
        <w:spacing w:after="120" w:line="276" w:lineRule="auto"/>
        <w:jc w:val="both"/>
      </w:pPr>
      <w:r>
        <w:rPr>
          <w:sz w:val="22"/>
          <w:szCs w:val="22"/>
        </w:rPr>
        <w:t xml:space="preserve">Neither premise has been tested under controlled conditions. Studies differ in dataset, cohort, horizon, model and protocol, and almost none holds the households and the test set fixed while varying only how the data are split across clients. It is therefore unknown how much of the accuracy lost by FL is due to heterogeneity, how much to splitting the data at all, and how much to the federated protocol itself, and bandwidth claims rest on analytic estimates rather than on bytes counted during training [15], [17]. This paper measures where these costs come from with a one-factor-at-a-time experiment on 100 homes of the Low Carbon London (LCL) trial [18].</w:t>
      </w:r>
    </w:p>
    <w:p>
      <w:pPr>
        <w:spacing w:after="120" w:line="276" w:lineRule="auto"/>
        <w:jc w:val="both"/>
      </w:pPr>
      <w:r>
        <w:rPr>
          <w:sz w:val="22"/>
          <w:szCs w:val="22"/>
        </w:rPr>
        <w:t xml:space="preserve">The principal contributions of this work are as follows:</w:t>
      </w:r>
    </w:p>
    <w:p>
      <w:pPr>
        <w:pStyle w:val="16"/>
        <w:numPr>
          <w:ilvl w:val="0"/>
          <w:numId w:val="1"/>
        </w:numPr>
        <w:spacing w:after="60" w:line="276" w:lineRule="auto"/>
        <w:jc w:val="both"/>
      </w:pPr>
      <w:r>
        <w:rPr>
          <w:sz w:val="22"/>
          <w:szCs w:val="22"/>
        </w:rPr>
        <w:t xml:space="preserve">A controlled decomposition of the federated–centralised gap, showing that it is a fragmentation cost: absent on a single client and growing to 10.3 % when every home is a client.</w:t>
      </w:r>
    </w:p>
    <w:p>
      <w:pPr>
        <w:pStyle w:val="16"/>
        <w:numPr>
          <w:ilvl w:val="0"/>
          <w:numId w:val="1"/>
        </w:numPr>
        <w:spacing w:after="60" w:line="276" w:lineRule="auto"/>
        <w:jc w:val="both"/>
      </w:pPr>
      <w:r>
        <w:rPr>
          <w:sz w:val="22"/>
          <w:szCs w:val="22"/>
        </w:rPr>
        <w:t xml:space="preserve">A measured heterogeneity index and byte-priced accuracy metrics, showing that heterogeneity mainly costs traffic, and that federated training of a small LSTM moves more bytes than the raw readings it keeps local.</w:t>
      </w:r>
    </w:p>
    <w:p>
      <w:pPr>
        <w:pStyle w:val="16"/>
        <w:numPr>
          <w:ilvl w:val="0"/>
          <w:numId w:val="1"/>
        </w:numPr>
        <w:spacing w:after="60" w:line="276" w:lineRule="auto"/>
        <w:jc w:val="both"/>
      </w:pPr>
      <w:r>
        <w:rPr>
          <w:sz w:val="22"/>
          <w:szCs w:val="22"/>
        </w:rPr>
        <w:t xml:space="preserve">A household-level equity analysis showing who loses from federation, and that one epoch of local fine-tuning removes most of that harm at community scale.</w:t>
      </w:r>
    </w:p>
    <w:p>
      <w:pPr>
        <w:pStyle w:val="16"/>
        <w:numPr>
          <w:ilvl w:val="0"/>
          <w:numId w:val="1"/>
        </w:numPr>
        <w:spacing w:after="60" w:line="276" w:lineRule="auto"/>
        <w:jc w:val="both"/>
      </w:pPr>
      <w:r>
        <w:rPr>
          <w:sz w:val="22"/>
          <w:szCs w:val="22"/>
        </w:rPr>
        <w:t xml:space="preserve">A heterogeneity-adaptive proximal rule (HA-FedProx) and the negative result that its update-disagreement signal is dominated by convergence rather than heterogeneity.</w:t>
      </w:r>
    </w:p>
    <w:p>
      <w:pPr>
        <w:spacing w:after="120" w:line="276" w:lineRule="auto"/>
        <w:jc w:val="both"/>
      </w:pPr>
      <w:r>
        <w:rPr>
          <w:sz w:val="22"/>
          <w:szCs w:val="22"/>
        </w:rPr>
        <w:t xml:space="preserve">The remainder of this paper is organised as follows. Section 2 reviews related work. Section 3 describes the methodology. Section 4 presents the experimental results. Section 5 discusses the findings and limitations, and Section 6 concludes.</w:t>
      </w:r>
    </w:p>
    <w:p>
      <w:pPr>
        <w:pStyle w:val="2"/>
        <w:keepNext/>
        <w:spacing w:before="320" w:after="120"/>
      </w:pPr>
      <w:r>
        <w:rPr>
          <w:b/>
          <w:bCs/>
          <w:color w:val="1F3864"/>
          <w:sz w:val="26"/>
          <w:szCs w:val="26"/>
        </w:rPr>
        <w:t xml:space="preserve">2. Literature Review</w:t>
      </w:r>
    </w:p>
    <w:p>
      <w:pPr>
        <w:pStyle w:val="3"/>
        <w:keepNext/>
        <w:spacing w:before="220" w:after="100"/>
      </w:pPr>
      <w:r>
        <w:rPr>
          <w:b/>
          <w:bCs/>
          <w:color w:val="2F4F7F"/>
          <w:sz w:val="23"/>
          <w:szCs w:val="23"/>
        </w:rPr>
        <w:t xml:space="preserve">2.1 Federated household load forecasting</w:t>
      </w:r>
    </w:p>
    <w:p>
      <w:pPr>
        <w:spacing w:after="120" w:line="276" w:lineRule="auto"/>
        <w:jc w:val="both"/>
      </w:pPr>
      <w:r>
        <w:rPr>
          <w:sz w:val="22"/>
          <w:szCs w:val="22"/>
        </w:rPr>
        <w:t xml:space="preserve">Pooling the data of neighbouring households reduces over-fitting in deep household forecasters [3], which is what motivates collaborative training. Whether federation preserves that benefit is disputed. On 100 LCL households, Briggs et al. [19] found plain FedAvg 7.6 % worse in RMSE than localised learning, with clustering reducing the shortfall to 4.7 % and local fine-tuning reversing it. Gholizadeh and Musilek [8] also found local learning best on average, whereas Fekri et al. [7] found FedAvg comparable to, or better than, per-meter models on 19 homes. Personalised and clustered variants [9], [10], [12], [14], [20] are almost always motivated by household heterogeneity. Keeping data local is not by itself a privacy guarantee, since updates can leak training data [21], [22].</w:t>
      </w:r>
    </w:p>
    <w:p>
      <w:pPr>
        <w:pStyle w:val="3"/>
        <w:keepNext/>
        <w:spacing w:before="220" w:after="100"/>
      </w:pPr>
      <w:r>
        <w:rPr>
          <w:b/>
          <w:bCs/>
          <w:color w:val="2F4F7F"/>
          <w:sz w:val="23"/>
          <w:szCs w:val="23"/>
        </w:rPr>
        <w:t xml:space="preserve">2.2 Communication cost of federation</w:t>
      </w:r>
    </w:p>
    <w:p>
      <w:pPr>
        <w:spacing w:after="120" w:line="276" w:lineRule="auto"/>
        <w:jc w:val="both"/>
      </w:pPr>
      <w:r>
        <w:rPr>
          <w:sz w:val="22"/>
          <w:szCs w:val="22"/>
        </w:rPr>
        <w:t xml:space="preserve">Communication efficiency was a founding motivation of FL [4], [23], but for load forecasting the evidence points both ways. Taïk and Cherkaoui [15] estimated analytically that FL saves 90–97 % of the network load of uploading data, and Savi and Olivadese [16] reported up to 50 times less exchanged data, whereas Briggs et al. [17] argued without measurement that weight vectors cost more than half-hourly readings on smart-meter links. Most studies count rounds rather than bytes [7].</w:t>
      </w:r>
    </w:p>
    <w:p>
      <w:pPr>
        <w:pStyle w:val="3"/>
        <w:keepNext/>
        <w:spacing w:before="220" w:after="100"/>
      </w:pPr>
      <w:r>
        <w:rPr>
          <w:b/>
          <w:bCs/>
          <w:color w:val="2F4F7F"/>
          <w:sz w:val="23"/>
          <w:szCs w:val="23"/>
        </w:rPr>
        <w:t xml:space="preserve">2.3 Non-IID data and adaptive proximal regularisation</w:t>
      </w:r>
    </w:p>
    <w:p>
      <w:pPr>
        <w:spacing w:after="120" w:line="276" w:lineRule="auto"/>
        <w:jc w:val="both"/>
      </w:pPr>
      <w:r>
        <w:rPr>
          <w:sz w:val="22"/>
          <w:szCs w:val="22"/>
        </w:rPr>
        <w:t xml:space="preserve">Statistical heterogeneity slows and biases FedAvg [5], [24]. Remedies include proximal regularisation (FedProx [13]), control variates (SCAFFOLD [25]) and personalisation, and heterogeneity is usually induced with a Dirichlet split over class labels [26], which has no direct analogue for regression. The FedProx coefficient is usually tuned by hand; adaptive variants use the training loss [13] or a local-versus-global performance index [27], and the update-dispersion ratio used here is related to gradient diversity [28].</w:t>
      </w:r>
    </w:p>
    <w:p>
      <w:pPr>
        <w:pStyle w:val="3"/>
        <w:keepNext/>
        <w:spacing w:before="220" w:after="100"/>
      </w:pPr>
      <w:r>
        <w:rPr>
          <w:b/>
          <w:bCs/>
          <w:color w:val="2F4F7F"/>
          <w:sz w:val="23"/>
          <w:szCs w:val="23"/>
        </w:rPr>
        <w:t xml:space="preserve">2.4 Research gap</w:t>
      </w:r>
    </w:p>
    <w:p>
      <w:pPr>
        <w:spacing w:after="120" w:line="276" w:lineRule="auto"/>
        <w:jc w:val="both"/>
      </w:pPr>
      <w:r>
        <w:rPr>
          <w:sz w:val="22"/>
          <w:szCs w:val="22"/>
        </w:rPr>
        <w:t xml:space="preserve">Table 1 summarises the closest studies. None varies heterogeneity while holding households and test set fixed, none counts bytes during training against the raw-data volume, and adaptive proximal coefficients have not been examined on energy data.</w:t>
      </w:r>
    </w:p>
    <w:p>
      <w:pPr>
        <w:keepNext/>
        <w:spacing w:before="80" w:after="160"/>
        <w:jc w:val="both"/>
      </w:pPr>
      <w:r>
        <w:rPr>
          <w:b/>
          <w:bCs/>
          <w:sz w:val="19"/>
          <w:szCs w:val="19"/>
        </w:rPr>
        <w:t>Table 1.</w:t>
      </w:r>
      <w:r>
        <w:rPr>
          <w:sz w:val="19"/>
          <w:szCs w:val="19"/>
        </w:rPr>
        <w:t xml:space="preserve"> </w:t>
      </w:r>
      <w:r>
        <w:rPr>
          <w:sz w:val="19"/>
          <w:szCs w:val="19"/>
        </w:rPr>
        <w:t xml:space="preserve">Comparison of related work and the gap addressed by this study.</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5"/>
        <w:gridCol w:w="2507"/>
        <w:gridCol w:w="2206"/>
        <w:gridCol w:w="2308"/>
      </w:tblGrid>
      <w:tr>
        <w:trPr>
          <w:tblHeader/>
          <w:cantSplit/>
        </w:trPr>
        <w:tc>
          <w:tcPr>
            <w:tcW w:w="2005"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Study</w:t>
            </w:r>
          </w:p>
        </w:tc>
        <w:tc>
          <w:tcPr>
            <w:tcW w:w="2507"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Approach</w:t>
            </w:r>
          </w:p>
        </w:tc>
        <w:tc>
          <w:tcPr>
            <w:tcW w:w="2206"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Dataset / setting</w:t>
            </w:r>
          </w:p>
        </w:tc>
        <w:tc>
          <w:tcPr>
            <w:tcW w:w="2308"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Limitation</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Briggs et al. (2022) [19]</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FedAvg, client clustering, local fine-tuning</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LCL, 100 households, 30-min</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Heterogeneity not controlled; bytes not measured</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Fekri et al. (2022) [7]</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FedSGD and FedAvg</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London Hydro (Ontario), 19 homes, hourly</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Communication counted in rounds, not bytes</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Gholizadeh and Musilek (2022) [8]</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FedAvg with hyperparameter-based clustering</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EPCOR (Edmonton), 75 locations</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Cause of the gap to local learning not isolated</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Taïk and Cherkaoui (2020) [15]</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LSTM; FedAvg with personalisation</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Pecan Street, 200 houses, hourly</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Bandwidth saving estimated analytically</w:t>
            </w:r>
          </w:p>
        </w:tc>
      </w:tr>
      <w:tr>
        <w:trPr>
          <w:cantSplit/>
        </w:trPr>
        <w:tc>
          <w:tcPr>
            <w:tcW w:w="2005" w:type="dxa"/>
            <w:tcMar>
              <w:top w:w="40" w:type="dxa"/>
              <w:left w:w="80" w:type="dxa"/>
              <w:bottom w:w="40" w:type="dxa"/>
              <w:right w:w="80" w:type="dxa"/>
            </w:tcMar>
          </w:tcPr>
          <w:p>
            <w:pPr>
              <w:keepNext/>
              <w:spacing w:before="0" w:after="0" w:line="240" w:lineRule="auto"/>
              <w:jc w:val="left"/>
            </w:pPr>
            <w:r>
              <w:rPr>
                <w:sz w:val="19"/>
                <w:szCs w:val="19"/>
              </w:rPr>
              <w:t xml:space="preserve">Mhou et al. (2025) [27]</w:t>
            </w:r>
          </w:p>
        </w:tc>
        <w:tc>
          <w:tcPr>
            <w:tcW w:w="2507" w:type="dxa"/>
            <w:tcMar>
              <w:top w:w="40" w:type="dxa"/>
              <w:left w:w="80" w:type="dxa"/>
              <w:bottom w:w="40" w:type="dxa"/>
              <w:right w:w="80" w:type="dxa"/>
            </w:tcMar>
          </w:tcPr>
          <w:p>
            <w:pPr>
              <w:keepNext/>
              <w:spacing w:before="0" w:after="0" w:line="240" w:lineRule="auto"/>
              <w:jc w:val="left"/>
            </w:pPr>
            <w:r>
              <w:rPr>
                <w:sz w:val="19"/>
                <w:szCs w:val="19"/>
              </w:rPr>
              <w:t xml:space="preserve">Performance-index-adaptive proximal term</w:t>
            </w:r>
          </w:p>
        </w:tc>
        <w:tc>
          <w:tcPr>
            <w:tcW w:w="2206" w:type="dxa"/>
            <w:tcMar>
              <w:top w:w="40" w:type="dxa"/>
              <w:left w:w="80" w:type="dxa"/>
              <w:bottom w:w="40" w:type="dxa"/>
              <w:right w:w="80" w:type="dxa"/>
            </w:tcMar>
          </w:tcPr>
          <w:p>
            <w:pPr>
              <w:keepNext/>
              <w:spacing w:before="0" w:after="0" w:line="240" w:lineRule="auto"/>
              <w:jc w:val="left"/>
            </w:pPr>
            <w:r>
              <w:rPr>
                <w:sz w:val="19"/>
                <w:szCs w:val="19"/>
              </w:rPr>
              <w:t xml:space="preserve">CIFAR-10</w:t>
            </w:r>
          </w:p>
        </w:tc>
        <w:tc>
          <w:tcPr>
            <w:tcW w:w="2308" w:type="dxa"/>
            <w:tcMar>
              <w:top w:w="40" w:type="dxa"/>
              <w:left w:w="80" w:type="dxa"/>
              <w:bottom w:w="40" w:type="dxa"/>
              <w:right w:w="80" w:type="dxa"/>
            </w:tcMar>
          </w:tcPr>
          <w:p>
            <w:pPr>
              <w:keepNext/>
              <w:spacing w:before="0" w:after="0" w:line="240" w:lineRule="auto"/>
              <w:jc w:val="left"/>
            </w:pPr>
            <w:r>
              <w:rPr>
                <w:sz w:val="19"/>
                <w:szCs w:val="19"/>
              </w:rPr>
              <w:t xml:space="preserve">Not evaluated on load data</w:t>
            </w:r>
          </w:p>
        </w:tc>
      </w:tr>
      <w:tr>
        <w:trPr>
          <w:cantSplit/>
        </w:trPr>
        <w:tc>
          <w:tcPr>
            <w:tcW w:w="2005" w:type="dxa"/>
            <w:tcMar>
              <w:top w:w="40" w:type="dxa"/>
              <w:left w:w="80" w:type="dxa"/>
              <w:bottom w:w="40" w:type="dxa"/>
              <w:right w:w="80" w:type="dxa"/>
            </w:tcMar>
          </w:tcPr>
          <w:p>
            <w:pPr>
              <w:spacing w:before="0" w:after="0" w:line="240" w:lineRule="auto"/>
              <w:jc w:val="left"/>
            </w:pPr>
            <w:r>
              <w:rPr>
                <w:b/>
                <w:bCs/>
                <w:sz w:val="19"/>
                <w:szCs w:val="19"/>
              </w:rPr>
              <w:t xml:space="preserve">This work</w:t>
            </w:r>
          </w:p>
        </w:tc>
        <w:tc>
          <w:tcPr>
            <w:tcW w:w="2507" w:type="dxa"/>
            <w:tcMar>
              <w:top w:w="40" w:type="dxa"/>
              <w:left w:w="80" w:type="dxa"/>
              <w:bottom w:w="40" w:type="dxa"/>
              <w:right w:w="80" w:type="dxa"/>
            </w:tcMar>
          </w:tcPr>
          <w:p>
            <w:pPr>
              <w:spacing w:before="0" w:after="0" w:line="240" w:lineRule="auto"/>
              <w:jc w:val="left"/>
            </w:pPr>
            <w:r>
              <w:rPr>
                <w:b/>
                <w:bCs/>
                <w:sz w:val="19"/>
                <w:szCs w:val="19"/>
              </w:rPr>
              <w:t xml:space="preserve">Controlled decomposition; byte ledger; HA-FedProx; household equity</w:t>
            </w:r>
          </w:p>
        </w:tc>
        <w:tc>
          <w:tcPr>
            <w:tcW w:w="2206" w:type="dxa"/>
            <w:tcMar>
              <w:top w:w="40" w:type="dxa"/>
              <w:left w:w="80" w:type="dxa"/>
              <w:bottom w:w="40" w:type="dxa"/>
              <w:right w:w="80" w:type="dxa"/>
            </w:tcMar>
          </w:tcPr>
          <w:p>
            <w:pPr>
              <w:spacing w:before="0" w:after="0" w:line="240" w:lineRule="auto"/>
              <w:jc w:val="left"/>
            </w:pPr>
            <w:r>
              <w:rPr>
                <w:b/>
                <w:bCs/>
                <w:sz w:val="19"/>
                <w:szCs w:val="19"/>
              </w:rPr>
              <w:t xml:space="preserve">LCL, 100 households, 30-min, </w:t>
            </w:r>
            <w:r>
              <w:rPr>
                <w:b/>
                <w:bCs/>
                <w:i/>
                <w:iCs/>
                <w:sz w:val="19"/>
                <w:szCs w:val="19"/>
              </w:rPr>
              <w:t xml:space="preserve">K</w:t>
            </w:r>
            <w:r>
              <w:rPr>
                <w:b/>
                <w:bCs/>
                <w:sz w:val="19"/>
                <w:szCs w:val="19"/>
              </w:rPr>
              <w:t xml:space="preserve"> from 1 to 100</w:t>
            </w:r>
          </w:p>
        </w:tc>
        <w:tc>
          <w:tcPr>
            <w:tcW w:w="2308" w:type="dxa"/>
            <w:tcMar>
              <w:top w:w="40" w:type="dxa"/>
              <w:left w:w="80" w:type="dxa"/>
              <w:bottom w:w="40" w:type="dxa"/>
              <w:right w:w="80" w:type="dxa"/>
            </w:tcMar>
          </w:tcPr>
          <w:p>
            <w:pPr>
              <w:spacing w:before="0" w:after="0" w:line="240" w:lineRule="auto"/>
              <w:jc w:val="left"/>
            </w:pPr>
            <w:r>
              <w:rPr>
                <w:b/>
                <w:bCs/>
                <w:sz w:val="19"/>
                <w:szCs w:val="19"/>
              </w:rPr>
              <w:t xml:space="preserve">–</w:t>
            </w:r>
          </w:p>
        </w:tc>
      </w:tr>
    </w:tbl>
    <w:p>
      <w:pPr>
        <w:spacing w:after="120"/>
      </w:pPr>
    </w:p>
    <w:p>
      <w:pPr>
        <w:pStyle w:val="2"/>
        <w:keepNext/>
        <w:spacing w:before="320" w:after="120"/>
      </w:pPr>
      <w:r>
        <w:rPr>
          <w:b/>
          <w:bCs/>
          <w:color w:val="1F3864"/>
          <w:sz w:val="26"/>
          <w:szCs w:val="26"/>
        </w:rPr>
        <w:t xml:space="preserve">3. Methodology</w:t>
      </w:r>
    </w:p>
    <w:p>
      <w:pPr>
        <w:pStyle w:val="3"/>
        <w:keepNext/>
        <w:spacing w:before="220" w:after="100"/>
      </w:pPr>
      <w:r>
        <w:rPr>
          <w:b/>
          <w:bCs/>
          <w:color w:val="2F4F7F"/>
          <w:sz w:val="23"/>
          <w:szCs w:val="23"/>
        </w:rPr>
        <w:t xml:space="preserve">3.1 Problem formulation</w:t>
      </w:r>
    </w:p>
    <w:p>
      <w:pPr>
        <w:spacing w:after="120" w:line="276" w:lineRule="auto"/>
        <w:jc w:val="both"/>
      </w:pPr>
      <w:r>
        <w:rPr>
          <w:sz w:val="22"/>
          <w:szCs w:val="22"/>
        </w:rPr>
        <w:t xml:space="preserve">Let </w:t>
      </w:r>
      <m:oMath>
        <m:sSub>
          <m:e>
            <m:r>
              <w:rPr>
                <w:rFonts w:ascii="Cambria Math" w:hAnsi="Cambria Math"/>
                <w:sz w:val="22"/>
                <w:szCs w:val="22"/>
              </w:rPr>
              <m:t>x</m:t>
            </m:r>
          </m:e>
          <m:sub>
            <m:r>
              <w:rPr>
                <w:rFonts w:ascii="Cambria Math" w:hAnsi="Cambria Math"/>
                <w:sz w:val="22"/>
                <w:szCs w:val="22"/>
              </w:rPr>
              <m:t>i,t</m:t>
            </m:r>
          </m:sub>
        </m:sSub>
      </m:oMath>
      <w:r>
        <w:rPr>
          <w:sz w:val="22"/>
          <w:szCs w:val="22"/>
        </w:rPr>
        <w:t xml:space="preserve"> be the energy (kWh) used by household </w:t>
      </w:r>
      <m:oMath>
        <m:r>
          <w:rPr>
            <w:rFonts w:ascii="Cambria Math" w:hAnsi="Cambria Math"/>
            <w:sz w:val="22"/>
            <w:szCs w:val="22"/>
          </w:rPr>
          <m:t>i</m:t>
        </m:r>
      </m:oMath>
      <w:r>
        <w:rPr>
          <w:sz w:val="22"/>
          <w:szCs w:val="22"/>
        </w:rPr>
        <w:t xml:space="preserve"> in half-hour </w:t>
      </w:r>
      <m:oMath>
        <m:r>
          <w:rPr>
            <w:rFonts w:ascii="Cambria Math" w:hAnsi="Cambria Math"/>
            <w:sz w:val="22"/>
            <w:szCs w:val="22"/>
          </w:rPr>
          <m:t>t</m:t>
        </m:r>
      </m:oMath>
      <w:r>
        <w:rPr>
          <w:sz w:val="22"/>
          <w:szCs w:val="22"/>
        </w:rPr>
        <w:t xml:space="preserve">, standardised with statistics from that household's training period. From the last </w:t>
      </w:r>
      <m:oMath>
        <m:r>
          <w:rPr>
            <w:rFonts w:ascii="Cambria Math" w:hAnsi="Cambria Math"/>
            <w:sz w:val="22"/>
            <w:szCs w:val="22"/>
          </w:rPr>
          <m:t>L=48</m:t>
        </m:r>
      </m:oMath>
      <w:r>
        <w:rPr>
          <w:sz w:val="22"/>
          <w:szCs w:val="22"/>
        </w:rPr>
        <w:t xml:space="preserve"> readings the model predicts the next half-hour,</w:t>
      </w:r>
    </w:p>
    <w:p>
      <w:pPr>
        <w:tabs>
          <w:tab w:val="center" w:pos="4513"/>
          <w:tab w:val="right" w:pos="9026"/>
        </w:tabs>
        <w:spacing w:before="120" w:after="120"/>
        <w:jc w:val="left"/>
      </w:pPr>
      <w:r>
        <w:tab/>
      </w:r>
      <m:oMath>
        <m:sSub>
          <m:e>
            <m:acc>
              <m:accPr>
                <m:chr m:val="̂"/>
              </m:accPr>
              <m:e>
                <m:r>
                  <w:rPr>
                    <w:rFonts w:ascii="Cambria Math" w:hAnsi="Cambria Math"/>
                    <w:sz w:val="22"/>
                    <w:szCs w:val="22"/>
                  </w:rPr>
                  <m:t>x</m:t>
                </m:r>
              </m:e>
            </m:acc>
          </m:e>
          <m:sub>
            <m:r>
              <w:rPr>
                <w:rFonts w:ascii="Cambria Math" w:hAnsi="Cambria Math"/>
                <w:sz w:val="22"/>
                <w:szCs w:val="22"/>
              </w:rPr>
              <m:t>i,t+1</m:t>
            </m:r>
          </m:sub>
        </m:sSub>
        <m: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w</m:t>
            </m:r>
          </m:sub>
        </m:sSub>
        <m:d>
          <m:dPr>
            <m:sepChr m:val=","/>
          </m:dPr>
          <m:e>
            <m:sSub>
              <m:e>
                <m:r>
                  <w:rPr>
                    <w:rFonts w:ascii="Cambria Math" w:hAnsi="Cambria Math"/>
                    <w:sz w:val="22"/>
                    <w:szCs w:val="22"/>
                  </w:rPr>
                  <m:t>x</m:t>
                </m:r>
              </m:e>
              <m:sub>
                <m:r>
                  <w:rPr>
                    <w:rFonts w:ascii="Cambria Math" w:hAnsi="Cambria Math"/>
                    <w:sz w:val="22"/>
                    <w:szCs w:val="22"/>
                  </w:rPr>
                  <m:t>i,t−L+1</m:t>
                </m:r>
              </m:sub>
            </m:sSub>
          </m:e>
          <m:e>
            <m:r>
              <w:rPr>
                <w:rFonts w:ascii="Cambria Math" w:hAnsi="Cambria Math"/>
                <w:sz w:val="22"/>
                <w:szCs w:val="22"/>
              </w:rPr>
              <m:t>…</m:t>
            </m:r>
          </m:e>
          <m:e>
            <m:sSub>
              <m:e>
                <m:r>
                  <w:rPr>
                    <w:rFonts w:ascii="Cambria Math" w:hAnsi="Cambria Math"/>
                    <w:sz w:val="22"/>
                    <w:szCs w:val="22"/>
                  </w:rPr>
                  <m:t>x</m:t>
                </m:r>
              </m:e>
              <m:sub>
                <m:r>
                  <w:rPr>
                    <w:rFonts w:ascii="Cambria Math" w:hAnsi="Cambria Math"/>
                    <w:sz w:val="22"/>
                    <w:szCs w:val="22"/>
                  </w:rPr>
                  <m:t>i,t</m:t>
                </m:r>
              </m:sub>
            </m:sSub>
          </m:e>
        </m:d>
      </m:oMath>
      <w:r>
        <w:rPr>
          <w:sz w:val="22"/>
          <w:szCs w:val="22"/>
        </w:rPr>
        <w:tab/>
        <w:t>(1)</w:t>
      </w:r>
    </w:p>
    <w:p>
      <w:pPr>
        <w:spacing w:after="120" w:line="276" w:lineRule="auto"/>
        <w:jc w:val="both"/>
      </w:pPr>
      <w:r>
        <w:rPr>
          <w:sz w:val="22"/>
          <w:szCs w:val="22"/>
        </w:rPr>
        <w:t xml:space="preserve">where </w:t>
      </w:r>
      <m:oMath>
        <m:sSub>
          <m:e>
            <m:r>
              <w:rPr>
                <w:rFonts w:ascii="Cambria Math" w:hAnsi="Cambria Math"/>
                <w:sz w:val="22"/>
                <w:szCs w:val="22"/>
              </w:rPr>
              <m:t>f</m:t>
            </m:r>
          </m:e>
          <m:sub>
            <m:r>
              <w:rPr>
                <w:rFonts w:ascii="Cambria Math" w:hAnsi="Cambria Math"/>
                <w:sz w:val="22"/>
                <w:szCs w:val="22"/>
              </w:rPr>
              <m:t>w</m:t>
            </m:r>
          </m:sub>
        </m:sSub>
      </m:oMath>
      <w:r>
        <w:rPr>
          <w:sz w:val="22"/>
          <w:szCs w:val="22"/>
        </w:rPr>
        <w:t xml:space="preserve"> is a single-layer LSTM with 64 hidden units and a linear output (</w:t>
      </w:r>
      <m:oMath>
        <m:r>
          <w:rPr>
            <w:rFonts w:ascii="Cambria Math" w:hAnsi="Cambria Math"/>
            <w:sz w:val="22"/>
            <w:szCs w:val="22"/>
          </w:rPr>
          <m:t>P=17</m:t>
        </m:r>
        <m:r>
          <w:rPr>
            <w:rFonts w:ascii="Cambria Math" w:hAnsi="Cambria Math"/>
            <w:sz w:val="22"/>
            <w:szCs w:val="22"/>
          </w:rPr>
          <m:t>,</m:t>
        </m:r>
        <m:r>
          <w:rPr>
            <w:rFonts w:ascii="Cambria Math" w:hAnsi="Cambria Math"/>
            <w:sz w:val="22"/>
            <w:szCs w:val="22"/>
          </w:rPr>
          <m:t>217</m:t>
        </m:r>
      </m:oMath>
      <w:r>
        <w:rPr>
          <w:sz w:val="22"/>
          <w:szCs w:val="22"/>
        </w:rPr>
        <w:t xml:space="preserve"> parameters, 68.9 kB in 32-bit floats), trained with mean squared error and Adam (learning rate </w:t>
      </w:r>
      <m:oMath>
        <m:sSup>
          <m:e>
            <m:r>
              <w:rPr>
                <w:rFonts w:ascii="Cambria Math" w:hAnsi="Cambria Math"/>
                <w:sz w:val="22"/>
                <w:szCs w:val="22"/>
              </w:rPr>
              <m:t>10</m:t>
            </m:r>
          </m:e>
          <m:sup>
            <m:r>
              <w:rPr>
                <w:rFonts w:ascii="Cambria Math" w:hAnsi="Cambria Math"/>
                <w:sz w:val="22"/>
                <w:szCs w:val="22"/>
              </w:rPr>
              <m:t>−3</m:t>
            </m:r>
          </m:sup>
        </m:sSup>
      </m:oMath>
      <w:r>
        <w:rPr>
          <w:sz w:val="22"/>
          <w:szCs w:val="22"/>
        </w:rPr>
        <w:t xml:space="preserve">, batch 256). In the federated arms, </w:t>
      </w:r>
      <m:oMath>
        <m:r>
          <w:rPr>
            <w:rFonts w:ascii="Cambria Math" w:hAnsi="Cambria Math"/>
            <w:sz w:val="22"/>
            <w:szCs w:val="22"/>
          </w:rPr>
          <m:t>K</m:t>
        </m:r>
      </m:oMath>
      <w:r>
        <w:rPr>
          <w:sz w:val="22"/>
          <w:szCs w:val="22"/>
        </w:rPr>
        <w:t xml:space="preserve"> clients hold the windows of one or more households; in round </w:t>
      </w:r>
      <m:oMath>
        <m:r>
          <w:rPr>
            <w:rFonts w:ascii="Cambria Math" w:hAnsi="Cambria Math"/>
            <w:sz w:val="22"/>
            <w:szCs w:val="22"/>
          </w:rPr>
          <m:t>t</m:t>
        </m:r>
      </m:oMath>
      <w:r>
        <w:rPr>
          <w:sz w:val="22"/>
          <w:szCs w:val="22"/>
        </w:rPr>
        <w:t xml:space="preserve"> the server sends the global weights </w:t>
      </w:r>
      <m:oMath>
        <m:sSub>
          <m:e>
            <m:r>
              <w:rPr>
                <w:rFonts w:ascii="Cambria Math" w:hAnsi="Cambria Math"/>
                <w:sz w:val="22"/>
                <w:szCs w:val="22"/>
              </w:rPr>
              <m:t>w</m:t>
            </m:r>
          </m:e>
          <m:sub>
            <m:r>
              <w:rPr>
                <w:rFonts w:ascii="Cambria Math" w:hAnsi="Cambria Math"/>
                <w:sz w:val="22"/>
                <w:szCs w:val="22"/>
              </w:rPr>
              <m:t>t</m:t>
            </m:r>
          </m:sub>
        </m:sSub>
      </m:oMath>
      <w:r>
        <w:rPr>
          <w:sz w:val="22"/>
          <w:szCs w:val="22"/>
        </w:rPr>
        <w:t xml:space="preserve"> to a set of clients, each trains for </w:t>
      </w:r>
      <m:oMath>
        <m:r>
          <w:rPr>
            <w:rFonts w:ascii="Cambria Math" w:hAnsi="Cambria Math"/>
            <w:sz w:val="22"/>
            <w:szCs w:val="22"/>
          </w:rPr>
          <m:t>E</m:t>
        </m:r>
      </m:oMath>
      <w:r>
        <w:rPr>
          <w:sz w:val="22"/>
          <w:szCs w:val="22"/>
        </w:rPr>
        <w:t xml:space="preserve"> local epochs, and the returning set </w:t>
      </w:r>
      <m:oMath>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oMath>
      <w:r>
        <w:rPr>
          <w:sz w:val="22"/>
          <w:szCs w:val="22"/>
        </w:rPr>
        <w:t xml:space="preserve"> is averaged:</w:t>
      </w:r>
    </w:p>
    <w:p>
      <w:pPr>
        <w:tabs>
          <w:tab w:val="center" w:pos="4513"/>
          <w:tab w:val="right" w:pos="9026"/>
        </w:tabs>
        <w:spacing w:before="120" w:after="120"/>
        <w:jc w:val="left"/>
      </w:pPr>
      <w:r>
        <w:tab/>
      </w:r>
      <m:oMath>
        <m:sSub>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m:t>
        </m:r>
        <m:nary>
          <m:naryPr>
            <m:chr m:val="∑"/>
            <m:limLoc m:val="subSup"/>
            <m:grow m:val="1"/>
            <m:subHide m:val="off"/>
            <m:supHide m:val="on"/>
          </m:naryPr>
          <m:sub>
            <m:r>
              <w:rPr>
                <w:rFonts w:ascii="Cambria Math" w:hAnsi="Cambria Math"/>
                <w:sz w:val="22"/>
                <w:szCs w:val="22"/>
              </w:rPr>
              <m:t>k∈</m:t>
            </m:r>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sub>
          <m:sup/>
          <m:e>
            <m:sSub>
              <m:e>
                <m:r>
                  <w:rPr>
                    <w:rFonts w:ascii="Cambria Math" w:hAnsi="Cambria Math"/>
                    <w:sz w:val="22"/>
                    <w:szCs w:val="22"/>
                  </w:rPr>
                  <m:t>p</m:t>
                </m:r>
              </m:e>
              <m:sub>
                <m:r>
                  <w:rPr>
                    <w:rFonts w:ascii="Cambria Math" w:hAnsi="Cambria Math"/>
                    <w:sz w:val="22"/>
                    <w:szCs w:val="22"/>
                  </w:rPr>
                  <m:t>k</m:t>
                </m:r>
              </m:sub>
            </m:sSub>
          </m:e>
        </m:nary>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m:t>
        </m:r>
        <m:f>
          <m:fPr>
            <m:type m:val="bar"/>
          </m:fPr>
          <m:num>
            <m:sSub>
              <m:e>
                <m:r>
                  <w:rPr>
                    <w:rFonts w:ascii="Cambria Math" w:hAnsi="Cambria Math"/>
                    <w:sz w:val="22"/>
                    <w:szCs w:val="22"/>
                  </w:rPr>
                  <m:t>n</m:t>
                </m:r>
              </m:e>
              <m:sub>
                <m:r>
                  <w:rPr>
                    <w:rFonts w:ascii="Cambria Math" w:hAnsi="Cambria Math"/>
                    <w:sz w:val="22"/>
                    <w:szCs w:val="22"/>
                  </w:rPr>
                  <m:t>k</m:t>
                </m:r>
              </m:sub>
            </m:sSub>
          </m:num>
          <m:den>
            <m:nary>
              <m:naryPr>
                <m:chr m:val="∑"/>
                <m:limLoc m:val="subSup"/>
                <m:grow m:val="1"/>
                <m:subHide m:val="off"/>
                <m:supHide m:val="on"/>
              </m:naryPr>
              <m:sub>
                <m:r>
                  <w:rPr>
                    <w:rFonts w:ascii="Cambria Math" w:hAnsi="Cambria Math"/>
                    <w:sz w:val="22"/>
                    <w:szCs w:val="22"/>
                  </w:rPr>
                  <m:t>j∈</m:t>
                </m:r>
                <m:sSubSup>
                  <m:e>
                    <m:r>
                      <w:rPr>
                        <w:rFonts w:ascii="Cambria Math" w:hAnsi="Cambria Math"/>
                        <w:sz w:val="22"/>
                        <w:szCs w:val="22"/>
                      </w:rPr>
                      <m:t>S</m:t>
                    </m:r>
                  </m:e>
                  <m:sub>
                    <m:r>
                      <w:rPr>
                        <w:rFonts w:ascii="Cambria Math" w:hAnsi="Cambria Math"/>
                        <w:sz w:val="22"/>
                        <w:szCs w:val="22"/>
                      </w:rPr>
                      <m:t>t</m:t>
                    </m:r>
                  </m:sub>
                  <m:sup>
                    <m:r>
                      <w:rPr>
                        <w:rFonts w:ascii="Cambria Math" w:hAnsi="Cambria Math"/>
                        <w:sz w:val="22"/>
                        <w:szCs w:val="22"/>
                      </w:rPr>
                      <m:t>′</m:t>
                    </m:r>
                  </m:sup>
                </m:sSubSup>
              </m:sub>
              <m:sup/>
              <m:e>
                <m:sSub>
                  <m:e>
                    <m:r>
                      <w:rPr>
                        <w:rFonts w:ascii="Cambria Math" w:hAnsi="Cambria Math"/>
                        <w:sz w:val="22"/>
                        <w:szCs w:val="22"/>
                      </w:rPr>
                      <m:t>n</m:t>
                    </m:r>
                  </m:e>
                  <m:sub>
                    <m:r>
                      <w:rPr>
                        <w:rFonts w:ascii="Cambria Math" w:hAnsi="Cambria Math"/>
                        <w:sz w:val="22"/>
                        <w:szCs w:val="22"/>
                      </w:rPr>
                      <m:t>j</m:t>
                    </m:r>
                  </m:sub>
                </m:sSub>
              </m:e>
            </m:nary>
          </m:den>
        </m:f>
      </m:oMath>
      <w:r>
        <w:rPr>
          <w:sz w:val="22"/>
          <w:szCs w:val="22"/>
        </w:rPr>
        <w:tab/>
        <w:t>(2)</w:t>
      </w:r>
    </w:p>
    <w:p>
      <w:pPr>
        <w:spacing w:after="120" w:line="276" w:lineRule="auto"/>
        <w:jc w:val="both"/>
      </w:pPr>
      <w:r>
        <w:rPr>
          <w:sz w:val="22"/>
          <w:szCs w:val="22"/>
        </w:rPr>
        <w:t xml:space="preserve">where </w:t>
      </w:r>
      <m:oMath>
        <m:sSub>
          <m:e>
            <m:r>
              <w:rPr>
                <w:rFonts w:ascii="Cambria Math" w:hAnsi="Cambria Math"/>
                <w:sz w:val="22"/>
                <w:szCs w:val="22"/>
              </w:rPr>
              <m:t>n</m:t>
            </m:r>
          </m:e>
          <m:sub>
            <m:r>
              <w:rPr>
                <w:rFonts w:ascii="Cambria Math" w:hAnsi="Cambria Math"/>
                <w:sz w:val="22"/>
                <w:szCs w:val="22"/>
              </w:rPr>
              <m:t>k</m:t>
            </m:r>
          </m:sub>
        </m:sSub>
      </m:oMath>
      <w:r>
        <w:rPr>
          <w:sz w:val="22"/>
          <w:szCs w:val="22"/>
        </w:rPr>
        <w:t xml:space="preserve"> is the number of training windows of client </w:t>
      </w:r>
      <m:oMath>
        <m:r>
          <w:rPr>
            <w:rFonts w:ascii="Cambria Math" w:hAnsi="Cambria Math"/>
            <w:sz w:val="22"/>
            <w:szCs w:val="22"/>
          </w:rPr>
          <m:t>k</m:t>
        </m:r>
      </m:oMath>
      <w:r>
        <w:rPr>
          <w:sz w:val="22"/>
          <w:szCs w:val="22"/>
        </w:rPr>
        <w:t xml:space="preserve"> [4].</w:t>
      </w:r>
    </w:p>
    <w:p>
      <w:pPr>
        <w:pStyle w:val="3"/>
        <w:keepNext/>
        <w:spacing w:before="220" w:after="100"/>
      </w:pPr>
      <w:r>
        <w:rPr>
          <w:b/>
          <w:bCs/>
          <w:color w:val="2F4F7F"/>
          <w:sz w:val="23"/>
          <w:szCs w:val="23"/>
        </w:rPr>
        <w:t xml:space="preserve">3.2 Data</w:t>
      </w:r>
    </w:p>
    <w:p>
      <w:pPr>
        <w:spacing w:after="120" w:line="276" w:lineRule="auto"/>
        <w:jc w:val="both"/>
      </w:pPr>
      <w:r>
        <w:rPr>
          <w:sz w:val="22"/>
          <w:szCs w:val="22"/>
        </w:rPr>
        <w:t xml:space="preserve">The public LCL release [18] contains half-hourly consumption of 5,567 London households. For calendar year 2013, standard-tariff households with at least 95 % coverage were eligible (4,034 homes); the time-of-use group was excluded because it received dynamic prices that year. A cohort of 100 homes was drawn, stratified by quintile of mean load. Invalid or implausible readings (above 10 kWh per half-hour) were set to missing, gaps of up to 2 h were interpolated, and windows touching longer gaps were dropped. The split was chronological for every home: training January–August, validation September–October and test November–December 2013 (1,160,952 training and 292,052 test windows). Scalers, profile clusters and the heterogeneity index used training data only, and every model-selection decision used validation data only. The data are public and anonymised, and no ethics approval was required for their secondary use.</w:t>
      </w:r>
    </w:p>
    <w:p>
      <w:pPr>
        <w:pStyle w:val="3"/>
        <w:keepNext/>
        <w:spacing w:before="220" w:after="100"/>
      </w:pPr>
      <w:r>
        <w:rPr>
          <w:b/>
          <w:bCs/>
          <w:color w:val="2F4F7F"/>
          <w:sz w:val="23"/>
          <w:szCs w:val="23"/>
        </w:rPr>
        <w:t xml:space="preserve">3.3 Proposed approach</w:t>
      </w:r>
    </w:p>
    <w:p>
      <w:pPr>
        <w:spacing w:after="120" w:line="276" w:lineRule="auto"/>
        <w:jc w:val="both"/>
      </w:pPr>
      <w:r>
        <w:rPr>
          <w:sz w:val="22"/>
          <w:szCs w:val="22"/>
        </w:rPr>
        <w:t xml:space="preserve">Fig. 1 summarises the study. Persistence and seasonal naive forecasts served as references. Local-only training fitted one model per household; centralised training fitted one model to the pooled windows of all households. FedAvg followed Eq. (2); FedProx added </w:t>
      </w:r>
      <m:oMath>
        <m:f>
          <m:fPr>
            <m:type m:val="bar"/>
          </m:fPr>
          <m:num>
            <m:r>
              <w:rPr>
                <w:rFonts w:ascii="Cambria Math" w:hAnsi="Cambria Math"/>
                <w:sz w:val="22"/>
                <w:szCs w:val="22"/>
              </w:rPr>
              <m:t>μ</m:t>
            </m:r>
          </m:num>
          <m:den>
            <m:r>
              <w:rPr>
                <w:rFonts w:ascii="Cambria Math" w:hAnsi="Cambria Math"/>
                <w:sz w:val="22"/>
                <w:szCs w:val="22"/>
              </w:rPr>
              <m:t>2</m:t>
            </m:r>
          </m:den>
        </m:f>
        <m:r>
          <w:rPr>
            <w:rFonts w:ascii="Cambria Math" w:hAnsi="Cambria Math"/>
            <w:sz w:val="22"/>
            <w:szCs w:val="22"/>
          </w:rPr>
          <m:t>‖w−</m:t>
        </m:r>
        <m:sSub>
          <m:e>
            <m:r>
              <w:rPr>
                <w:rFonts w:ascii="Cambria Math" w:hAnsi="Cambria Math"/>
                <w:sz w:val="22"/>
                <w:szCs w:val="22"/>
              </w:rPr>
              <m:t>w</m:t>
            </m:r>
          </m:e>
          <m:sub>
            <m:r>
              <w:rPr>
                <w:rFonts w:ascii="Cambria Math" w:hAnsi="Cambria Math"/>
                <w:sz w:val="22"/>
                <w:szCs w:val="22"/>
              </w:rPr>
              <m:t>t</m:t>
            </m:r>
          </m:sub>
        </m:sSub>
        <m:sSup>
          <m:e>
            <m:r>
              <w:rPr>
                <w:rFonts w:ascii="Cambria Math" w:hAnsi="Cambria Math"/>
                <w:sz w:val="22"/>
                <w:szCs w:val="22"/>
              </w:rPr>
              <m:t>‖</m:t>
            </m:r>
          </m:e>
          <m:sup>
            <m:r>
              <w:rPr>
                <w:rFonts w:ascii="Cambria Math" w:hAnsi="Cambria Math"/>
                <w:sz w:val="22"/>
                <w:szCs w:val="22"/>
              </w:rPr>
              <m:t>2</m:t>
            </m:r>
          </m:sup>
        </m:sSup>
      </m:oMath>
      <w:r>
        <w:rPr>
          <w:sz w:val="22"/>
          <w:szCs w:val="22"/>
        </w:rPr>
        <w:t xml:space="preserve"> to each local loss [13]; and FT fine-tuned the final global model for one epoch on each household's own data, at no communication cost.</w:t>
      </w:r>
    </w:p>
    <w:p>
      <w:pPr>
        <w:keepNext/>
        <w:spacing w:before="0"/>
        <w:jc w:val="center"/>
      </w:pPr>
      <w:r>
        <w:drawing>
          <wp:inline xmlns:a="http://schemas.openxmlformats.org/drawingml/2006/main" xmlns:pic="http://schemas.openxmlformats.org/drawingml/2006/picture">
            <wp:extent cx="5274624" cy="3064984"/>
            <wp:docPr id="1" name="Picture 1"/>
            <wp:cNvGraphicFramePr>
              <a:graphicFrameLocks noChangeAspect="1"/>
            </wp:cNvGraphicFramePr>
            <a:graphic>
              <a:graphicData uri="http://schemas.openxmlformats.org/drawingml/2006/picture">
                <pic:pic>
                  <pic:nvPicPr>
                    <pic:cNvPr id="0" name="workflow.png"/>
                    <pic:cNvPicPr/>
                  </pic:nvPicPr>
                  <pic:blipFill>
                    <a:blip r:embed="rId8"/>
                    <a:stretch>
                      <a:fillRect/>
                    </a:stretch>
                  </pic:blipFill>
                  <pic:spPr>
                    <a:xfrm>
                      <a:off x="0" y="0"/>
                      <a:ext cx="5274624" cy="3064984"/>
                    </a:xfrm>
                    <a:prstGeom prst="rect"/>
                  </pic:spPr>
                </pic:pic>
              </a:graphicData>
            </a:graphic>
          </wp:inline>
        </w:drawing>
      </w:r>
    </w:p>
    <w:p>
      <w:pPr>
        <w:spacing w:before="80" w:after="160"/>
        <w:jc w:val="both"/>
      </w:pPr>
      <w:r>
        <w:rPr>
          <w:b/>
          <w:bCs/>
          <w:sz w:val="19"/>
          <w:szCs w:val="19"/>
        </w:rPr>
        <w:t>Figure 1.</w:t>
      </w:r>
      <w:r>
        <w:rPr>
          <w:sz w:val="19"/>
          <w:szCs w:val="19"/>
        </w:rPr>
        <w:t xml:space="preserve"> </w:t>
      </w:r>
      <w:r>
        <w:rPr>
          <w:sz w:val="19"/>
          <w:szCs w:val="19"/>
        </w:rPr>
        <w:t xml:space="preserve">Study workflow. All arms used the same 100 households, split and LSTM. Federated arms partitioned the homes into </w:t>
      </w:r>
      <m:oMath>
        <m:r>
          <w:rPr>
            <w:rFonts w:ascii="Cambria Math" w:hAnsi="Cambria Math"/>
            <w:sz w:val="19"/>
            <w:szCs w:val="19"/>
          </w:rPr>
          <m:t>K</m:t>
        </m:r>
      </m:oMath>
      <w:r>
        <w:rPr>
          <w:sz w:val="19"/>
          <w:szCs w:val="19"/>
        </w:rPr>
        <w:t xml:space="preserve"> clients, trained for </w:t>
      </w:r>
      <m:oMath>
        <m:r>
          <w:rPr>
            <w:rFonts w:ascii="Cambria Math" w:hAnsi="Cambria Math"/>
            <w:sz w:val="19"/>
            <w:szCs w:val="19"/>
          </w:rPr>
          <m:t>T=30</m:t>
        </m:r>
      </m:oMath>
      <w:r>
        <w:rPr>
          <w:sz w:val="19"/>
          <w:szCs w:val="19"/>
        </w:rPr>
        <w:t xml:space="preserve"> rounds of one local epoch, and were tested once at the round chosen on validation error. </w:t>
      </w:r>
      <m:oMath>
        <m:sSub>
          <m:e>
            <m:r>
              <w:rPr>
                <w:rFonts w:ascii="Cambria Math" w:hAnsi="Cambria Math"/>
                <w:sz w:val="19"/>
                <w:szCs w:val="19"/>
              </w:rPr>
              <m:t>w</m:t>
            </m:r>
          </m:e>
          <m:sub>
            <m:r>
              <w:rPr>
                <w:rFonts w:ascii="Cambria Math" w:hAnsi="Cambria Math"/>
                <w:sz w:val="19"/>
                <w:szCs w:val="19"/>
              </w:rPr>
              <m:t>t</m:t>
            </m:r>
          </m:sub>
        </m:sSub>
      </m:oMath>
      <w:r>
        <w:rPr>
          <w:sz w:val="19"/>
          <w:szCs w:val="19"/>
        </w:rPr>
        <w:t xml:space="preserve">, </w:t>
      </w:r>
      <m:oMath>
        <m:sSub>
          <m:e>
            <m:r>
              <w:rPr>
                <w:rFonts w:ascii="Cambria Math" w:hAnsi="Cambria Math"/>
                <w:sz w:val="19"/>
                <w:szCs w:val="19"/>
              </w:rPr>
              <m:t>w</m:t>
            </m:r>
          </m:e>
          <m:sub>
            <m:r>
              <w:rPr>
                <w:rFonts w:ascii="Cambria Math" w:hAnsi="Cambria Math"/>
                <w:sz w:val="19"/>
                <w:szCs w:val="19"/>
              </w:rPr>
              <m:t>k</m:t>
            </m:r>
          </m:sub>
        </m:sSub>
      </m:oMath>
      <w:r>
        <w:rPr>
          <w:sz w:val="19"/>
          <w:szCs w:val="19"/>
        </w:rPr>
        <w:t xml:space="preserve">: global and client weights; </w:t>
      </w:r>
      <m:oMath>
        <m:r>
          <w:rPr>
            <w:rFonts w:ascii="Cambria Math" w:hAnsi="Cambria Math"/>
            <w:sz w:val="19"/>
            <w:szCs w:val="19"/>
          </w:rPr>
          <m:t>P·b</m:t>
        </m:r>
      </m:oMath>
      <w:r>
        <w:rPr>
          <w:sz w:val="19"/>
          <w:szCs w:val="19"/>
        </w:rPr>
        <w:t xml:space="preserve">: bytes per message; </w:t>
      </w:r>
      <m:oMath>
        <m:sSub>
          <m:e>
            <m:r>
              <w:rPr>
                <w:rFonts w:ascii="Cambria Math" w:hAnsi="Cambria Math"/>
                <w:sz w:val="19"/>
                <w:szCs w:val="19"/>
              </w:rPr>
              <m:t>ρ</m:t>
            </m:r>
          </m:e>
          <m:sub>
            <m:r>
              <w:rPr>
                <w:rFonts w:ascii="Cambria Math" w:hAnsi="Cambria Math"/>
                <w:sz w:val="19"/>
                <w:szCs w:val="19"/>
              </w:rPr>
              <m:t>t</m:t>
            </m:r>
          </m:sub>
        </m:sSub>
      </m:oMath>
      <w:r>
        <w:rPr>
          <w:sz w:val="19"/>
          <w:szCs w:val="19"/>
        </w:rPr>
        <w:t xml:space="preserve">: update disagreement; FT: local fine-tuning.</w:t>
      </w:r>
    </w:p>
    <w:p>
      <w:pPr>
        <w:spacing w:after="80" w:line="276" w:lineRule="auto"/>
        <w:jc w:val="both"/>
      </w:pPr>
      <w:r>
        <w:rPr>
          <w:b/>
          <w:bCs/>
          <w:sz w:val="22"/>
          <w:szCs w:val="22"/>
        </w:rPr>
        <w:t xml:space="preserve">Controlled partitions. </w:t>
      </w:r>
      <w:r>
        <w:rPr>
          <w:sz w:val="22"/>
          <w:szCs w:val="22"/>
        </w:rPr>
        <w:t xml:space="preserve">In household mode each home is a client (</w:t>
      </w:r>
      <m:oMath>
        <m:r>
          <w:rPr>
            <w:rFonts w:ascii="Cambria Math" w:hAnsi="Cambria Math"/>
            <w:sz w:val="22"/>
            <w:szCs w:val="22"/>
          </w:rPr>
          <m:t>K=100</m:t>
        </m:r>
      </m:oMath>
      <w:r>
        <w:rPr>
          <w:sz w:val="22"/>
          <w:szCs w:val="22"/>
        </w:rPr>
        <w:t xml:space="preserve">). In community mode the same homes are grouped into </w:t>
      </w:r>
      <m:oMath>
        <m:r>
          <w:rPr>
            <w:rFonts w:ascii="Cambria Math" w:hAnsi="Cambria Math"/>
            <w:sz w:val="22"/>
            <w:szCs w:val="22"/>
          </w:rPr>
          <m:t>K</m:t>
        </m:r>
      </m:oMath>
      <w:r>
        <w:rPr>
          <w:sz w:val="22"/>
          <w:szCs w:val="22"/>
        </w:rPr>
        <w:t xml:space="preserve"> clients, as behind a building gateway or community energy hub. Each household was described by its normalised daily load shape and log mean load and clustered with </w:t>
      </w:r>
      <m:oMath>
        <m:r>
          <w:rPr>
            <w:rFonts w:ascii="Cambria Math" w:hAnsi="Cambria Math"/>
            <w:sz w:val="22"/>
            <w:szCs w:val="22"/>
          </w:rPr>
          <m:t>k</m:t>
        </m:r>
      </m:oMath>
      <w:r>
        <w:rPr>
          <w:sz w:val="22"/>
          <w:szCs w:val="22"/>
        </w:rPr>
        <w:t xml:space="preserve">-means (</w:t>
      </w:r>
      <m:oMath>
        <m:r>
          <w:rPr>
            <w:rFonts w:ascii="Cambria Math" w:hAnsi="Cambria Math"/>
            <w:sz w:val="22"/>
            <w:szCs w:val="22"/>
          </w:rPr>
          <m:t>k=5</m:t>
        </m:r>
      </m:oMath>
      <w:r>
        <w:rPr>
          <w:sz w:val="22"/>
          <w:szCs w:val="22"/>
        </w:rPr>
        <w:t xml:space="preserve">). Homes were then grouped at random, by a Dirichlet(</w:t>
      </w:r>
      <m:oMath>
        <m:r>
          <w:rPr>
            <w:rFonts w:ascii="Cambria Math" w:hAnsi="Cambria Math"/>
            <w:sz w:val="22"/>
            <w:szCs w:val="22"/>
          </w:rPr>
          <m:t>α</m:t>
        </m:r>
      </m:oMath>
      <w:r>
        <w:rPr>
          <w:sz w:val="22"/>
          <w:szCs w:val="22"/>
        </w:rPr>
        <w:t xml:space="preserve">) mixture over the clusters [26], or by cluster (most separated). Because the homes and test windows never change, error differences between partitions are caused by the partition alone.</w:t>
      </w:r>
    </w:p>
    <w:p>
      <w:pPr>
        <w:spacing w:after="80" w:line="276" w:lineRule="auto"/>
        <w:jc w:val="both"/>
      </w:pPr>
      <w:r>
        <w:rPr>
          <w:b/>
          <w:bCs/>
          <w:sz w:val="22"/>
          <w:szCs w:val="22"/>
        </w:rPr>
        <w:t xml:space="preserve">Measured heterogeneity. </w:t>
      </w:r>
      <w:r>
        <w:rPr>
          <w:sz w:val="22"/>
          <w:szCs w:val="22"/>
        </w:rPr>
        <w:t xml:space="preserve">With </w:t>
      </w:r>
      <m:oMath>
        <m:sSub>
          <m:e>
            <m:r>
              <w:rPr>
                <w:rFonts w:ascii="Cambria Math" w:hAnsi="Cambria Math"/>
                <w:sz w:val="22"/>
                <w:szCs w:val="22"/>
              </w:rPr>
              <m:t>q</m:t>
            </m:r>
          </m:e>
          <m:sub>
            <m:r>
              <w:rPr>
                <w:rFonts w:ascii="Cambria Math" w:hAnsi="Cambria Math"/>
                <w:sz w:val="22"/>
                <w:szCs w:val="22"/>
              </w:rPr>
              <m:t>k</m:t>
            </m:r>
          </m:sub>
        </m:sSub>
      </m:oMath>
      <w:r>
        <w:rPr>
          <w:sz w:val="22"/>
          <w:szCs w:val="22"/>
        </w:rPr>
        <w:t xml:space="preserve"> the distribution of client </w:t>
      </w:r>
      <m:oMath>
        <m:r>
          <w:rPr>
            <w:rFonts w:ascii="Cambria Math" w:hAnsi="Cambria Math"/>
            <w:sz w:val="22"/>
            <w:szCs w:val="22"/>
          </w:rPr>
          <m:t>k</m:t>
        </m:r>
      </m:oMath>
      <w:r>
        <w:rPr>
          <w:sz w:val="22"/>
          <w:szCs w:val="22"/>
        </w:rPr>
        <w:t xml:space="preserve">'s training consumption over the 168 hours of the week, </w:t>
      </w:r>
      <m:oMath>
        <m:sSub>
          <m:e>
            <m:r>
              <w:rPr>
                <w:rFonts w:ascii="Cambria Math" w:hAnsi="Cambria Math"/>
                <w:sz w:val="22"/>
                <w:szCs w:val="22"/>
              </w:rPr>
              <m:t>m</m:t>
            </m:r>
          </m:e>
          <m:sub>
            <m:r>
              <w:rPr>
                <w:rFonts w:ascii="Cambria Math" w:hAnsi="Cambria Math"/>
                <w:sz w:val="22"/>
                <w:szCs w:val="22"/>
              </w:rPr>
              <m:t>k</m:t>
            </m:r>
          </m:sub>
        </m:sSub>
      </m:oMath>
      <w:r>
        <w:rPr>
          <w:sz w:val="22"/>
          <w:szCs w:val="22"/>
        </w:rPr>
        <w:t xml:space="preserve"> its mean load and JS the Jensen–Shannon divergence [29],</w:t>
      </w:r>
    </w:p>
    <w:p>
      <w:pPr>
        <w:tabs>
          <w:tab w:val="center" w:pos="4513"/>
          <w:tab w:val="right" w:pos="9026"/>
        </w:tabs>
        <w:spacing w:before="120" w:after="120"/>
        <w:jc w:val="left"/>
      </w:pPr>
      <w:r>
        <w:tab/>
      </w:r>
      <m:oMath>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m:t>
        </m:r>
        <m:sSup>
          <m:e>
            <m:d>
              <m:dPr>
                <m:sepChr m:val=""/>
              </m:dPr>
              <m:e>
                <m:f>
                  <m:fPr>
                    <m:type m:val="noBar"/>
                  </m:fPr>
                  <m:num>
                    <m:r>
                      <w:rPr>
                        <w:rFonts w:ascii="Cambria Math" w:hAnsi="Cambria Math"/>
                        <w:sz w:val="22"/>
                        <w:szCs w:val="22"/>
                      </w:rPr>
                      <m:t>K</m:t>
                    </m:r>
                  </m:num>
                  <m:den>
                    <m:r>
                      <w:rPr>
                        <w:rFonts w:ascii="Cambria Math" w:hAnsi="Cambria Math"/>
                        <w:sz w:val="22"/>
                        <w:szCs w:val="22"/>
                      </w:rPr>
                      <m:t>2</m:t>
                    </m:r>
                  </m:den>
                </m:f>
              </m:e>
            </m:d>
          </m:e>
          <m:sup>
            <m:r>
              <w:rPr>
                <w:rFonts w:ascii="Cambria Math" w:hAnsi="Cambria Math"/>
                <w:sz w:val="22"/>
                <w:szCs w:val="22"/>
              </w:rPr>
              <m:t>−1</m:t>
            </m:r>
          </m:sup>
        </m:sSup>
        <m:nary>
          <m:naryPr>
            <m:chr m:val="∑"/>
            <m:limLoc m:val="subSup"/>
            <m:grow m:val="1"/>
            <m:subHide m:val="off"/>
            <m:supHide m:val="on"/>
          </m:naryPr>
          <m:sub>
            <m:r>
              <w:rPr>
                <w:rFonts w:ascii="Cambria Math" w:hAnsi="Cambria Math"/>
                <w:sz w:val="22"/>
                <w:szCs w:val="22"/>
              </w:rPr>
              <m:t>k&lt;l</m:t>
            </m:r>
          </m:sub>
          <m:sup/>
          <m:e>
            <m:r>
              <m:rPr>
                <m:sty m:val="p"/>
              </m:rPr>
              <w:rPr>
                <w:rFonts w:ascii="Cambria Math" w:hAnsi="Cambria Math"/>
                <w:sz w:val="22"/>
                <w:szCs w:val="22"/>
              </w:rPr>
              <m:t>JS</m:t>
            </m:r>
          </m:e>
        </m:nary>
        <m:d>
          <m:dPr>
            <m:sepChr m:val="‖"/>
          </m:dPr>
          <m:e>
            <m:sSub>
              <m:e>
                <m:r>
                  <w:rPr>
                    <w:rFonts w:ascii="Cambria Math" w:hAnsi="Cambria Math"/>
                    <w:sz w:val="22"/>
                    <w:szCs w:val="22"/>
                  </w:rPr>
                  <m:t>q</m:t>
                </m:r>
              </m:e>
              <m:sub>
                <m:r>
                  <w:rPr>
                    <w:rFonts w:ascii="Cambria Math" w:hAnsi="Cambria Math"/>
                    <w:sz w:val="22"/>
                    <w:szCs w:val="22"/>
                  </w:rPr>
                  <m:t>k</m:t>
                </m:r>
              </m:sub>
            </m:sSub>
          </m:e>
          <m:e>
            <m:sSub>
              <m:e>
                <m:r>
                  <w:rPr>
                    <w:rFonts w:ascii="Cambria Math" w:hAnsi="Cambria Math"/>
                    <w:sz w:val="22"/>
                    <w:szCs w:val="22"/>
                  </w:rPr>
                  <m:t>q</m:t>
                </m:r>
              </m:e>
              <m:sub>
                <m:r>
                  <w:rPr>
                    <w:rFonts w:ascii="Cambria Math" w:hAnsi="Cambria Math"/>
                    <w:sz w:val="22"/>
                    <w:szCs w:val="22"/>
                  </w:rPr>
                  <m:t>l</m:t>
                </m:r>
              </m:sub>
            </m:sSub>
          </m:e>
        </m:d>
        <m:r>
          <w:rPr>
            <w:rFonts w:ascii="Cambria Math" w:hAnsi="Cambria Math"/>
            <w:sz w:val="22"/>
            <w:szCs w:val="22"/>
          </w:rPr>
          <m:t>,</m:t>
        </m:r>
        <m:r>
          <w:rPr>
            <w:rFonts w:ascii="Cambria Math" w:hAnsi="Cambria Math"/>
            <w:sz w:val="22"/>
            <w:szCs w:val="22"/>
          </w:rPr>
          <m:t>H=</m:t>
        </m:r>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m:t>
        </m:r>
        <m:f>
          <m:fPr>
            <m:type m:val="bar"/>
          </m:fPr>
          <m:num>
            <m:sSub>
              <m:e>
                <m:r>
                  <w:rPr>
                    <w:rFonts w:ascii="Cambria Math" w:hAnsi="Cambria Math"/>
                    <w:sz w:val="22"/>
                    <w:szCs w:val="22"/>
                  </w:rPr>
                  <m:t>H</m:t>
                </m:r>
              </m:e>
              <m:sub>
                <m:r>
                  <m:rPr>
                    <m:sty m:val="p"/>
                  </m:rPr>
                  <w:rPr>
                    <w:rFonts w:ascii="Cambria Math" w:hAnsi="Cambria Math"/>
                    <w:sz w:val="22"/>
                    <w:szCs w:val="22"/>
                  </w:rPr>
                  <m:t>CV</m:t>
                </m:r>
              </m:sub>
            </m:sSub>
          </m:num>
          <m:den>
            <m:r>
              <w:rPr>
                <w:rFonts w:ascii="Cambria Math" w:hAnsi="Cambria Math"/>
                <w:sz w:val="22"/>
                <w:szCs w:val="22"/>
              </w:rPr>
              <m:t>1+</m:t>
            </m:r>
            <m:sSub>
              <m:e>
                <m:r>
                  <w:rPr>
                    <w:rFonts w:ascii="Cambria Math" w:hAnsi="Cambria Math"/>
                    <w:sz w:val="22"/>
                    <w:szCs w:val="22"/>
                  </w:rPr>
                  <m:t>H</m:t>
                </m:r>
              </m:e>
              <m:sub>
                <m:r>
                  <m:rPr>
                    <m:sty m:val="p"/>
                  </m:rPr>
                  <w:rPr>
                    <w:rFonts w:ascii="Cambria Math" w:hAnsi="Cambria Math"/>
                    <w:sz w:val="22"/>
                    <w:szCs w:val="22"/>
                  </w:rPr>
                  <m:t>CV</m:t>
                </m:r>
              </m:sub>
            </m:sSub>
          </m:den>
        </m:f>
      </m:oMath>
      <w:r>
        <w:rPr>
          <w:sz w:val="22"/>
          <w:szCs w:val="22"/>
        </w:rPr>
        <w:tab/>
        <w:t>(3)</w:t>
      </w:r>
    </w:p>
    <w:p>
      <w:pPr>
        <w:spacing w:after="120" w:line="276" w:lineRule="auto"/>
        <w:jc w:val="both"/>
      </w:pPr>
      <w:r>
        <w:rPr>
          <w:sz w:val="22"/>
          <w:szCs w:val="22"/>
        </w:rPr>
        <w:t xml:space="preserve">where </w:t>
      </w:r>
      <m:oMath>
        <m:sSub>
          <m:e>
            <m:r>
              <w:rPr>
                <w:rFonts w:ascii="Cambria Math" w:hAnsi="Cambria Math"/>
                <w:sz w:val="22"/>
                <w:szCs w:val="22"/>
              </w:rPr>
              <m:t>H</m:t>
            </m:r>
          </m:e>
          <m:sub>
            <m:r>
              <m:rPr>
                <m:sty m:val="p"/>
              </m:rPr>
              <w:rPr>
                <w:rFonts w:ascii="Cambria Math" w:hAnsi="Cambria Math"/>
                <w:sz w:val="22"/>
                <w:szCs w:val="22"/>
              </w:rPr>
              <m:t>CV</m:t>
            </m:r>
          </m:sub>
        </m:sSub>
      </m:oMath>
      <w:r>
        <w:rPr>
          <w:sz w:val="22"/>
          <w:szCs w:val="22"/>
        </w:rPr>
        <w:t xml:space="preserve"> is the coefficient of variation of </w:t>
      </w:r>
      <m:oMath>
        <m:sSub>
          <m:e>
            <m:r>
              <w:rPr>
                <w:rFonts w:ascii="Cambria Math" w:hAnsi="Cambria Math"/>
                <w:sz w:val="22"/>
                <w:szCs w:val="22"/>
              </w:rPr>
              <m:t>m</m:t>
            </m:r>
          </m:e>
          <m:sub>
            <m:r>
              <w:rPr>
                <w:rFonts w:ascii="Cambria Math" w:hAnsi="Cambria Math"/>
                <w:sz w:val="22"/>
                <w:szCs w:val="22"/>
              </w:rPr>
              <m:t>k</m:t>
            </m:r>
          </m:sub>
        </m:sSub>
      </m:oMath>
      <w:r>
        <w:rPr>
          <w:sz w:val="22"/>
          <w:szCs w:val="22"/>
        </w:rPr>
        <w:t xml:space="preserve">.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measures differences in when clients consume and the second term differences in how much.</w:t>
      </w:r>
    </w:p>
    <w:p>
      <w:pPr>
        <w:spacing w:after="80" w:line="276" w:lineRule="auto"/>
        <w:jc w:val="both"/>
      </w:pPr>
      <w:r>
        <w:rPr>
          <w:b/>
          <w:bCs/>
          <w:sz w:val="22"/>
          <w:szCs w:val="22"/>
        </w:rPr>
        <w:t xml:space="preserve">HA-FedProx. </w:t>
      </w:r>
      <w:r>
        <w:rPr>
          <w:sz w:val="22"/>
          <w:szCs w:val="22"/>
        </w:rPr>
        <w:t xml:space="preserve">After round </w:t>
      </w:r>
      <m:oMath>
        <m:r>
          <w:rPr>
            <w:rFonts w:ascii="Cambria Math" w:hAnsi="Cambria Math"/>
            <w:sz w:val="22"/>
            <w:szCs w:val="22"/>
          </w:rPr>
          <m:t>t</m:t>
        </m:r>
      </m:oMath>
      <w:r>
        <w:rPr>
          <w:sz w:val="22"/>
          <w:szCs w:val="22"/>
        </w:rPr>
        <w:t xml:space="preserve"> the server holds the updates </w:t>
      </w:r>
      <m:oMath>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t</m:t>
            </m:r>
          </m:sub>
        </m:sSub>
      </m:oMath>
      <w:r>
        <w:rPr>
          <w:sz w:val="22"/>
          <w:szCs w:val="22"/>
        </w:rPr>
        <w:t xml:space="preserve"> and their weighted mean </w:t>
      </w:r>
      <m:oMath>
        <m:bar>
          <m:barPr>
            <m:pos m:val="top"/>
          </m:barPr>
          <m:e>
            <m:r>
              <w:rPr>
                <w:rFonts w:ascii="Cambria Math" w:hAnsi="Cambria Math"/>
                <w:sz w:val="22"/>
                <w:szCs w:val="22"/>
              </w:rPr>
              <m:t>Δ</m:t>
            </m:r>
          </m:e>
        </m:bar>
      </m:oMath>
      <w:r>
        <w:rPr>
          <w:sz w:val="22"/>
          <w:szCs w:val="22"/>
        </w:rPr>
        <w:t xml:space="preserve">. It computes the update-disagreement ratio and sets the next proximal coefficient,</w:t>
      </w:r>
    </w:p>
    <w:p>
      <w:pPr>
        <w:tabs>
          <w:tab w:val="center" w:pos="4513"/>
          <w:tab w:val="right" w:pos="9026"/>
        </w:tabs>
        <w:spacing w:before="120" w:after="120"/>
        <w:jc w:val="left"/>
      </w:pPr>
      <w:r>
        <w:tab/>
      </w:r>
      <m:oMath>
        <m:sSub>
          <m:e>
            <m:r>
              <w:rPr>
                <w:rFonts w:ascii="Cambria Math" w:hAnsi="Cambria Math"/>
                <w:sz w:val="22"/>
                <w:szCs w:val="22"/>
              </w:rPr>
              <m:t>ρ</m:t>
            </m:r>
          </m:e>
          <m:sub>
            <m:r>
              <w:rPr>
                <w:rFonts w:ascii="Cambria Math" w:hAnsi="Cambria Math"/>
                <w:sz w:val="22"/>
                <w:szCs w:val="22"/>
              </w:rPr>
              <m:t>t</m:t>
            </m:r>
          </m:sub>
        </m:sSub>
        <m:r>
          <w:rPr>
            <w:rFonts w:ascii="Cambria Math" w:hAnsi="Cambria Math"/>
            <w:sz w:val="22"/>
            <w:szCs w:val="22"/>
          </w:rPr>
          <m:t>=</m:t>
        </m:r>
        <m:f>
          <m:fPr>
            <m:type m:val="bar"/>
          </m:fPr>
          <m:num>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num>
          <m:den>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sSup>
              <m:e>
                <m:r>
                  <w:rPr>
                    <w:rFonts w:ascii="Cambria Math" w:hAnsi="Cambria Math"/>
                    <w:sz w:val="22"/>
                    <w:szCs w:val="22"/>
                  </w:rPr>
                  <m:t>‖</m:t>
                </m:r>
              </m:e>
              <m:sup>
                <m:r>
                  <w:rPr>
                    <w:rFonts w:ascii="Cambria Math" w:hAnsi="Cambria Math"/>
                    <w:sz w:val="22"/>
                    <w:szCs w:val="22"/>
                  </w:rPr>
                  <m:t>2</m:t>
                </m:r>
              </m:sup>
            </m:sSup>
          </m:den>
        </m:f>
        <m:r>
          <w:rPr>
            <w:rFonts w:ascii="Cambria Math" w:hAnsi="Cambria Math"/>
            <w:sz w:val="22"/>
            <w:szCs w:val="22"/>
          </w:rPr>
          <m:t>∈[0,1],</m:t>
        </m:r>
        <m:sSub>
          <m:e>
            <m:r>
              <w:rPr>
                <w:rFonts w:ascii="Cambria Math" w:hAnsi="Cambria Math"/>
                <w:sz w:val="22"/>
                <w:szCs w:val="22"/>
              </w:rPr>
              <m:t>μ</m:t>
            </m:r>
          </m:e>
          <m:sub>
            <m:r>
              <w:rPr>
                <w:rFonts w:ascii="Cambria Math" w:hAnsi="Cambria Math"/>
                <w:sz w:val="22"/>
                <w:szCs w:val="22"/>
              </w:rPr>
              <m:t>t+1</m:t>
            </m:r>
          </m:sub>
        </m:sSub>
        <m:r>
          <w:rPr>
            <w:rFonts w:ascii="Cambria Math" w:hAnsi="Cambria Math"/>
            <w:sz w:val="22"/>
            <w:szCs w:val="22"/>
          </w:rPr>
          <m:t>=</m:t>
        </m:r>
        <m:r>
          <m:rPr>
            <m:sty m:val="p"/>
          </m:rPr>
          <w:rPr>
            <w:rFonts w:ascii="Cambria Math" w:hAnsi="Cambria Math"/>
            <w:sz w:val="22"/>
            <w:szCs w:val="22"/>
          </w:rPr>
          <m:t>clip</m:t>
        </m:r>
        <m:d>
          <m:dPr>
            <m:sepChr m:val=","/>
          </m:dPr>
          <m:e>
            <m:sSub>
              <m:e>
                <m:r>
                  <w:rPr>
                    <w:rFonts w:ascii="Cambria Math" w:hAnsi="Cambria Math"/>
                    <w:sz w:val="22"/>
                    <w:szCs w:val="22"/>
                  </w:rPr>
                  <m:t>μ</m:t>
                </m:r>
              </m:e>
              <m:sub>
                <m:r>
                  <w:rPr>
                    <w:rFonts w:ascii="Cambria Math" w:hAnsi="Cambria Math"/>
                    <w:sz w:val="22"/>
                    <w:szCs w:val="22"/>
                  </w:rPr>
                  <m:t>0</m:t>
                </m:r>
              </m:sub>
            </m:sSub>
            <m:sSub>
              <m:e>
                <m:r>
                  <w:rPr>
                    <w:rFonts w:ascii="Cambria Math" w:hAnsi="Cambria Math"/>
                    <w:sz w:val="22"/>
                    <w:szCs w:val="22"/>
                  </w:rPr>
                  <m:t>ρ</m:t>
                </m:r>
              </m:e>
              <m:sub>
                <m:r>
                  <w:rPr>
                    <w:rFonts w:ascii="Cambria Math" w:hAnsi="Cambria Math"/>
                    <w:sz w:val="22"/>
                    <w:szCs w:val="22"/>
                  </w:rPr>
                  <m:t>t</m:t>
                </m:r>
              </m:sub>
            </m:sSub>
          </m:e>
          <m:e>
            <m:r>
              <m:rPr>
                <m:sty m:val="p"/>
              </m:rPr>
              <w:rPr>
                <w:rFonts w:ascii="Cambria Math" w:hAnsi="Cambria Math"/>
                <w:sz w:val="22"/>
                <w:szCs w:val="22"/>
              </w:rPr>
              <m:t> </m:t>
            </m:r>
            <m:sSup>
              <m:e>
                <m:r>
                  <w:rPr>
                    <w:rFonts w:ascii="Cambria Math" w:hAnsi="Cambria Math"/>
                    <w:sz w:val="22"/>
                    <w:szCs w:val="22"/>
                  </w:rPr>
                  <m:t>10</m:t>
                </m:r>
              </m:e>
              <m:sup>
                <m:r>
                  <w:rPr>
                    <w:rFonts w:ascii="Cambria Math" w:hAnsi="Cambria Math"/>
                    <w:sz w:val="22"/>
                    <w:szCs w:val="22"/>
                  </w:rPr>
                  <m:t>−4</m:t>
                </m:r>
              </m:sup>
            </m:sSup>
          </m:e>
          <m:e>
            <m:r>
              <m:rPr>
                <m:sty m:val="p"/>
              </m:rPr>
              <w:rPr>
                <w:rFonts w:ascii="Cambria Math" w:hAnsi="Cambria Math"/>
                <w:sz w:val="22"/>
                <w:szCs w:val="22"/>
              </w:rPr>
              <m:t> </m:t>
            </m:r>
            <m:r>
              <w:rPr>
                <w:rFonts w:ascii="Cambria Math" w:hAnsi="Cambria Math"/>
                <w:sz w:val="22"/>
                <w:szCs w:val="22"/>
              </w:rPr>
              <m:t>1</m:t>
            </m:r>
          </m:e>
        </m:d>
      </m:oMath>
      <w:r>
        <w:rPr>
          <w:sz w:val="22"/>
          <w:szCs w:val="22"/>
        </w:rPr>
        <w:tab/>
        <w:t>(4)</w:t>
      </w:r>
    </w:p>
    <w:p>
      <w:pPr>
        <w:spacing w:after="120" w:line="276" w:lineRule="auto"/>
        <w:jc w:val="both"/>
      </w:pPr>
      <m:oMath>
        <m:sSub>
          <m:e>
            <m:r>
              <w:rPr>
                <w:rFonts w:ascii="Cambria Math" w:hAnsi="Cambria Math"/>
                <w:sz w:val="22"/>
                <w:szCs w:val="22"/>
              </w:rPr>
              <m:t>ρ</m:t>
            </m:r>
          </m:e>
          <m:sub>
            <m:r>
              <w:rPr>
                <w:rFonts w:ascii="Cambria Math" w:hAnsi="Cambria Math"/>
                <w:sz w:val="22"/>
                <w:szCs w:val="22"/>
              </w:rPr>
              <m:t>t</m:t>
            </m:r>
          </m:sub>
        </m:sSub>
      </m:oMath>
      <w:r>
        <w:rPr>
          <w:sz w:val="22"/>
          <w:szCs w:val="22"/>
        </w:rPr>
        <w:t xml:space="preserve"> equals </w:t>
      </w:r>
      <m:oMath>
        <m:r>
          <w:rPr>
            <w:rFonts w:ascii="Cambria Math" w:hAnsi="Cambria Math"/>
            <w:sz w:val="22"/>
            <w:szCs w:val="22"/>
          </w:rPr>
          <m:t>1−1/</m:t>
        </m:r>
        <m:sSubSup>
          <m:e>
            <m:r>
              <w:rPr>
                <w:rFonts w:ascii="Cambria Math" w:hAnsi="Cambria Math"/>
                <w:sz w:val="22"/>
                <w:szCs w:val="22"/>
              </w:rPr>
              <m:t>B</m:t>
            </m:r>
          </m:e>
          <m:sub>
            <m:r>
              <w:rPr>
                <w:rFonts w:ascii="Cambria Math" w:hAnsi="Cambria Math"/>
                <w:sz w:val="22"/>
                <w:szCs w:val="22"/>
              </w:rPr>
              <m:t>t</m:t>
            </m:r>
          </m:sub>
          <m:sup>
            <m:r>
              <w:rPr>
                <w:rFonts w:ascii="Cambria Math" w:hAnsi="Cambria Math"/>
                <w:sz w:val="22"/>
                <w:szCs w:val="22"/>
              </w:rPr>
              <m:t>2</m:t>
            </m:r>
          </m:sup>
        </m:sSubSup>
      </m:oMath>
      <w:r>
        <w:rPr>
          <w:sz w:val="22"/>
          <w:szCs w:val="22"/>
        </w:rPr>
        <w:t xml:space="preserve">, where </w:t>
      </w:r>
      <m:oMath>
        <m:sSub>
          <m:e>
            <m:r>
              <w:rPr>
                <w:rFonts w:ascii="Cambria Math" w:hAnsi="Cambria Math"/>
                <w:sz w:val="22"/>
                <w:szCs w:val="22"/>
              </w:rPr>
              <m:t>B</m:t>
            </m:r>
          </m:e>
          <m:sub>
            <m:r>
              <w:rPr>
                <w:rFonts w:ascii="Cambria Math" w:hAnsi="Cambria Math"/>
                <w:sz w:val="22"/>
                <w:szCs w:val="22"/>
              </w:rPr>
              <m:t>t</m:t>
            </m:r>
          </m:sub>
        </m:sSub>
      </m:oMath>
      <w:r>
        <w:rPr>
          <w:sz w:val="22"/>
          <w:szCs w:val="22"/>
        </w:rPr>
        <w:t xml:space="preserve"> is an update-space version of FedProx's </w:t>
      </w:r>
      <m:oMath>
        <m:r>
          <w:rPr>
            <w:rFonts w:ascii="Cambria Math" w:hAnsi="Cambria Math"/>
            <w:sz w:val="22"/>
            <w:szCs w:val="22"/>
          </w:rPr>
          <m:t>B</m:t>
        </m:r>
      </m:oMath>
      <w:r>
        <w:rPr>
          <w:sz w:val="22"/>
          <w:szCs w:val="22"/>
        </w:rPr>
        <w:t xml:space="preserve">-dissimilarity [13]; it needs no extra messages.</w:t>
      </w:r>
    </w:p>
    <w:p>
      <w:pPr>
        <w:spacing w:after="80" w:line="276" w:lineRule="auto"/>
        <w:jc w:val="both"/>
      </w:pPr>
      <w:r>
        <w:rPr>
          <w:b/>
          <w:bCs/>
          <w:sz w:val="22"/>
          <w:szCs w:val="22"/>
        </w:rPr>
        <w:t xml:space="preserve">Communication. </w:t>
      </w:r>
      <w:r>
        <w:rPr>
          <w:sz w:val="22"/>
          <w:szCs w:val="22"/>
        </w:rPr>
        <w:t xml:space="preserve">A message carries </w:t>
      </w:r>
      <m:oMath>
        <m:r>
          <w:rPr>
            <w:rFonts w:ascii="Cambria Math" w:hAnsi="Cambria Math"/>
            <w:sz w:val="22"/>
            <w:szCs w:val="22"/>
          </w:rPr>
          <m:t>P·b</m:t>
        </m:r>
      </m:oMath>
      <w:r>
        <w:rPr>
          <w:sz w:val="22"/>
          <w:szCs w:val="22"/>
        </w:rPr>
        <w:t xml:space="preserve"> bytes (</w:t>
      </w:r>
      <m:oMath>
        <m:r>
          <w:rPr>
            <w:rFonts w:ascii="Cambria Math" w:hAnsi="Cambria Math"/>
            <w:sz w:val="22"/>
            <w:szCs w:val="22"/>
          </w:rPr>
          <m:t>b=4</m:t>
        </m:r>
      </m:oMath>
      <w:r>
        <w:rPr>
          <w:sz w:val="22"/>
          <w:szCs w:val="22"/>
        </w:rPr>
        <w:t xml:space="preserve"> for 32-bit, 2 for 16-bit updates), with one download per selected client and one upload per returning client. With </w:t>
      </w:r>
      <m:oMath>
        <m:sSub>
          <m:e>
            <m:r>
              <w:rPr>
                <w:rFonts w:ascii="Cambria Math" w:hAnsi="Cambria Math"/>
                <w:sz w:val="22"/>
                <w:szCs w:val="22"/>
              </w:rPr>
              <m:t>v</m:t>
            </m:r>
          </m:e>
          <m:sub>
            <m:r>
              <w:rPr>
                <w:rFonts w:ascii="Cambria Math" w:hAnsi="Cambria Math"/>
                <w:sz w:val="22"/>
                <w:szCs w:val="22"/>
              </w:rPr>
              <m:t>t</m:t>
            </m:r>
          </m:sub>
        </m:sSub>
      </m:oMath>
      <w:r>
        <w:rPr>
          <w:sz w:val="22"/>
          <w:szCs w:val="22"/>
        </w:rPr>
        <w:t xml:space="preserve"> the validation MAE after round </w:t>
      </w:r>
      <m:oMath>
        <m:r>
          <w:rPr>
            <w:rFonts w:ascii="Cambria Math" w:hAnsi="Cambria Math"/>
            <w:sz w:val="22"/>
            <w:szCs w:val="22"/>
          </w:rPr>
          <m:t>t</m:t>
        </m:r>
      </m:oMath>
      <w:r>
        <w:rPr>
          <w:sz w:val="22"/>
          <w:szCs w:val="22"/>
        </w:rPr>
        <w:t xml:space="preserve"> and </w:t>
      </w:r>
      <m:oMath>
        <m:sSup>
          <m:e>
            <m:r>
              <w:rPr>
                <w:rFonts w:ascii="Cambria Math" w:hAnsi="Cambria Math"/>
                <w:sz w:val="22"/>
                <w:szCs w:val="22"/>
              </w:rPr>
              <m:t>v</m:t>
            </m:r>
          </m:e>
          <m:sup>
            <m:r>
              <w:rPr>
                <w:rFonts w:ascii="Cambria Math" w:hAnsi="Cambria Math"/>
                <w:sz w:val="22"/>
                <w:szCs w:val="22"/>
              </w:rPr>
              <m:t>⋆</m:t>
            </m:r>
          </m:sup>
        </m:sSup>
      </m:oMath>
      <w:r>
        <w:rPr>
          <w:sz w:val="22"/>
          <w:szCs w:val="22"/>
        </w:rPr>
        <w:t xml:space="preserve"> that of centralised training, R@</w:t>
      </w:r>
      <m:oMath>
        <m:r>
          <w:rPr>
            <w:rFonts w:ascii="Cambria Math" w:hAnsi="Cambria Math"/>
            <w:sz w:val="22"/>
            <w:szCs w:val="22"/>
          </w:rPr>
          <m:t>ε</m:t>
        </m:r>
      </m:oMath>
      <w:r>
        <w:rPr>
          <w:sz w:val="22"/>
          <w:szCs w:val="22"/>
        </w:rPr>
        <w:t xml:space="preserve"> is the first round with </w:t>
      </w:r>
      <m:oMath>
        <m:sSub>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≤(1+ε)</m:t>
        </m:r>
        <m:sSup>
          <m:e>
            <m:r>
              <w:rPr>
                <w:rFonts w:ascii="Cambria Math" w:hAnsi="Cambria Math"/>
                <w:sz w:val="22"/>
                <w:szCs w:val="22"/>
              </w:rPr>
              <m:t>v</m:t>
            </m:r>
          </m:e>
          <m:sup>
            <m:r>
              <w:rPr>
                <w:rFonts w:ascii="Cambria Math" w:hAnsi="Cambria Math"/>
                <w:sz w:val="22"/>
                <w:szCs w:val="22"/>
              </w:rPr>
              <m:t>⋆</m:t>
            </m:r>
          </m:sup>
        </m:sSup>
      </m:oMath>
      <w:r>
        <w:rPr>
          <w:sz w:val="22"/>
          <w:szCs w:val="22"/>
        </w:rPr>
        <w:t xml:space="preserve"> and B@</w:t>
      </w:r>
      <m:oMath>
        <m:r>
          <w:rPr>
            <w:rFonts w:ascii="Cambria Math" w:hAnsi="Cambria Math"/>
            <w:sz w:val="22"/>
            <w:szCs w:val="22"/>
          </w:rPr>
          <m:t>ε</m:t>
        </m:r>
      </m:oMath>
      <w:r>
        <w:rPr>
          <w:sz w:val="22"/>
          <w:szCs w:val="22"/>
        </w:rPr>
        <w:t xml:space="preserve"> the bytes exchanged up to it (</w:t>
      </w:r>
      <m:oMath>
        <m:r>
          <w:rPr>
            <w:rFonts w:ascii="Cambria Math" w:hAnsi="Cambria Math"/>
            <w:sz w:val="22"/>
            <w:szCs w:val="22"/>
          </w:rPr>
          <m:t>ε=10</m:t>
        </m:r>
        <m:r>
          <w:rPr>
            <w:rFonts w:ascii="Cambria Math" w:hAnsi="Cambria Math"/>
            <w:sz w:val="22"/>
            <w:szCs w:val="22"/>
          </w:rPr>
          <m:t>%</m:t>
        </m:r>
      </m:oMath>
      <w:r>
        <w:rPr>
          <w:sz w:val="22"/>
          <w:szCs w:val="22"/>
        </w:rPr>
        <w:t xml:space="preserve">). For centralised training the raw-data volume was counted. Stragglers (probability </w:t>
      </w:r>
      <m:oMath>
        <m:sSub>
          <m:e>
            <m:r>
              <w:rPr>
                <w:rFonts w:ascii="Cambria Math" w:hAnsi="Cambria Math"/>
                <w:sz w:val="22"/>
                <w:szCs w:val="22"/>
              </w:rPr>
              <m:t>p</m:t>
            </m:r>
          </m:e>
          <m:sub>
            <m:r>
              <w:rPr>
                <w:rFonts w:ascii="Cambria Math" w:hAnsi="Cambria Math"/>
                <w:sz w:val="22"/>
                <w:szCs w:val="22"/>
              </w:rPr>
              <m:t>s</m:t>
            </m:r>
          </m:sub>
        </m:sSub>
      </m:oMath>
      <w:r>
        <w:rPr>
          <w:sz w:val="22"/>
          <w:szCs w:val="22"/>
        </w:rPr>
        <w:t xml:space="preserve">) completed a random fraction of their local work; FedAvg dropped them, FedProx kept their partial updates [13].</w:t>
      </w:r>
    </w:p>
    <w:p>
      <w:pPr>
        <w:pStyle w:val="3"/>
        <w:keepNext/>
        <w:spacing w:before="220" w:after="100"/>
      </w:pPr>
      <w:r>
        <w:rPr>
          <w:b/>
          <w:bCs/>
          <w:color w:val="2F4F7F"/>
          <w:sz w:val="23"/>
          <w:szCs w:val="23"/>
        </w:rPr>
        <w:t xml:space="preserve">3.4 Experimental setup</w:t>
      </w:r>
    </w:p>
    <w:p>
      <w:pPr>
        <w:spacing w:after="120" w:line="276" w:lineRule="auto"/>
        <w:jc w:val="both"/>
      </w:pPr>
      <w:r>
        <w:rPr>
          <w:sz w:val="22"/>
          <w:szCs w:val="22"/>
        </w:rPr>
        <w:t xml:space="preserve">Community mode used </w:t>
      </w:r>
      <m:oMath>
        <m:r>
          <w:rPr>
            <w:rFonts w:ascii="Cambria Math" w:hAnsi="Cambria Math"/>
            <w:sz w:val="22"/>
            <w:szCs w:val="22"/>
          </w:rPr>
          <m:t>K=20</m:t>
        </m:r>
      </m:oMath>
      <w:r>
        <w:rPr>
          <w:sz w:val="22"/>
          <w:szCs w:val="22"/>
        </w:rPr>
        <w:t xml:space="preserve"> clients of five homes, full participation and </w:t>
      </w:r>
      <m:oMath>
        <m:r>
          <w:rPr>
            <w:rFonts w:ascii="Cambria Math" w:hAnsi="Cambria Math"/>
            <w:sz w:val="22"/>
            <w:szCs w:val="22"/>
          </w:rPr>
          <m:t>T=30</m:t>
        </m:r>
      </m:oMath>
      <w:r>
        <w:rPr>
          <w:sz w:val="22"/>
          <w:szCs w:val="22"/>
        </w:rPr>
        <w:t xml:space="preserve"> rounds of </w:t>
      </w:r>
      <m:oMath>
        <m:r>
          <w:rPr>
            <w:rFonts w:ascii="Cambria Math" w:hAnsi="Cambria Math"/>
            <w:sz w:val="22"/>
            <w:szCs w:val="22"/>
          </w:rPr>
          <m:t>E=1</m:t>
        </m:r>
      </m:oMath>
      <w:r>
        <w:rPr>
          <w:sz w:val="22"/>
          <w:szCs w:val="22"/>
        </w:rPr>
        <w:t xml:space="preserve"> epoch, the same number of passes over the data as centralised training (30 epochs with early stopping). The experiments varied </w:t>
      </w:r>
      <m:oMath>
        <m:r>
          <w:rPr>
            <w:rFonts w:ascii="Cambria Math" w:hAnsi="Cambria Math"/>
            <w:sz w:val="22"/>
            <w:szCs w:val="22"/>
          </w:rPr>
          <m:t>K</m:t>
        </m:r>
      </m:oMath>
      <w:r>
        <w:rPr>
          <w:sz w:val="22"/>
          <w:szCs w:val="22"/>
        </w:rPr>
        <w:t xml:space="preserve"> (1, 5, 20, 50, 100), the grouping (</w:t>
      </w:r>
      <m:oMath>
        <m:r>
          <w:rPr>
            <w:rFonts w:ascii="Cambria Math" w:hAnsi="Cambria Math"/>
            <w:sz w:val="22"/>
            <w:szCs w:val="22"/>
          </w:rPr>
          <m:t>α∈{∞,1,0.3,0.1}</m:t>
        </m:r>
      </m:oMath>
      <w:r>
        <w:rPr>
          <w:sz w:val="22"/>
          <w:szCs w:val="22"/>
        </w:rPr>
        <w:t xml:space="preserve"> and cluster), participation (</w:t>
      </w:r>
      <m:oMath>
        <m:r>
          <w:rPr>
            <w:rFonts w:ascii="Cambria Math" w:hAnsi="Cambria Math"/>
            <w:sz w:val="22"/>
            <w:szCs w:val="22"/>
          </w:rPr>
          <m:t>C=0.5</m:t>
        </m:r>
      </m:oMath>
      <w:r>
        <w:rPr>
          <w:sz w:val="22"/>
          <w:szCs w:val="22"/>
        </w:rPr>
        <w:t xml:space="preserve"> with 20 % stragglers), the aggregation rule and 16-bit updates. FedProx's </w:t>
      </w:r>
      <m:oMath>
        <m:r>
          <w:rPr>
            <w:rFonts w:ascii="Cambria Math" w:hAnsi="Cambria Math"/>
            <w:sz w:val="22"/>
            <w:szCs w:val="22"/>
          </w:rPr>
          <m:t>μ</m:t>
        </m:r>
      </m:oMath>
      <w:r>
        <w:rPr>
          <w:sz w:val="22"/>
          <w:szCs w:val="22"/>
        </w:rPr>
        <w:t xml:space="preserve"> and HA-FedProx's </w:t>
      </w:r>
      <m:oMath>
        <m:sSub>
          <m:e>
            <m:r>
              <w:rPr>
                <w:rFonts w:ascii="Cambria Math" w:hAnsi="Cambria Math"/>
                <w:sz w:val="22"/>
                <w:szCs w:val="22"/>
              </w:rPr>
              <m:t>μ</m:t>
            </m:r>
          </m:e>
          <m:sub>
            <m:r>
              <w:rPr>
                <w:rFonts w:ascii="Cambria Math" w:hAnsi="Cambria Math"/>
                <w:sz w:val="22"/>
                <w:szCs w:val="22"/>
              </w:rPr>
              <m:t>0</m:t>
            </m:r>
          </m:sub>
        </m:sSub>
      </m:oMath>
      <w:r>
        <w:rPr>
          <w:sz w:val="22"/>
          <w:szCs w:val="22"/>
        </w:rPr>
        <w:t xml:space="preserve"> were tuned on validation data, selecting </w:t>
      </w:r>
      <m:oMath>
        <m:r>
          <w:rPr>
            <w:rFonts w:ascii="Cambria Math" w:hAnsi="Cambria Math"/>
            <w:sz w:val="22"/>
            <w:szCs w:val="22"/>
          </w:rPr>
          <m:t>μ=0.001</m:t>
        </m:r>
      </m:oMath>
      <w:r>
        <w:rPr>
          <w:sz w:val="22"/>
          <w:szCs w:val="22"/>
        </w:rPr>
        <w:t xml:space="preserve"> and </w:t>
      </w:r>
      <m:oMath>
        <m:sSub>
          <m:e>
            <m:r>
              <w:rPr>
                <w:rFonts w:ascii="Cambria Math" w:hAnsi="Cambria Math"/>
                <w:sz w:val="22"/>
                <w:szCs w:val="22"/>
              </w:rPr>
              <m:t>μ</m:t>
            </m:r>
          </m:e>
          <m:sub>
            <m:r>
              <w:rPr>
                <w:rFonts w:ascii="Cambria Math" w:hAnsi="Cambria Math"/>
                <w:sz w:val="22"/>
                <w:szCs w:val="22"/>
              </w:rPr>
              <m:t>0</m:t>
            </m:r>
          </m:sub>
        </m:sSub>
        <m:r>
          <w:rPr>
            <w:rFonts w:ascii="Cambria Math" w:hAnsi="Cambria Math"/>
            <w:sz w:val="22"/>
            <w:szCs w:val="22"/>
          </w:rPr>
          <m:t>=0.01</m:t>
        </m:r>
      </m:oMath>
      <w:r>
        <w:rPr>
          <w:sz w:val="22"/>
          <w:szCs w:val="22"/>
        </w:rPr>
        <w:t xml:space="preserve">. Each configuration ran with three seeds (90 runs in total). The pipeline used Python 3.14.7, PyTorch 2.14.1 and an in-process simulator whose clients follow the Flower interface; Flower 1.39.0 [30] reproduced its results exactly. Accuracy was measured by MAE, RMSE and weighted absolute percentage error, micro-averaged over all test half-hours. Per-household errors were compared with Wilcoxon signed-rank tests [31] with Holm correction [32], reported together with the share of households for which one arm was better.</w:t>
      </w:r>
    </w:p>
    <w:p>
      <w:pPr>
        <w:pStyle w:val="2"/>
        <w:keepNext/>
        <w:spacing w:before="320" w:after="120"/>
      </w:pPr>
      <w:r>
        <w:rPr>
          <w:b/>
          <w:bCs/>
          <w:color w:val="1F3864"/>
          <w:sz w:val="26"/>
          <w:szCs w:val="26"/>
        </w:rPr>
        <w:t xml:space="preserve">4. Results</w:t>
      </w:r>
    </w:p>
    <w:p>
      <w:pPr>
        <w:pStyle w:val="3"/>
        <w:keepNext/>
        <w:spacing w:before="220" w:after="100"/>
      </w:pPr>
      <w:r>
        <w:rPr>
          <w:b/>
          <w:bCs/>
          <w:color w:val="2F4F7F"/>
          <w:sz w:val="23"/>
          <w:szCs w:val="23"/>
        </w:rPr>
        <w:t xml:space="preserve">4.1 Where the federated gap comes from</w:t>
      </w:r>
    </w:p>
    <w:p>
      <w:pPr>
        <w:spacing w:after="120" w:line="276" w:lineRule="auto"/>
        <w:jc w:val="both"/>
      </w:pPr>
      <w:r>
        <w:rPr>
          <w:sz w:val="22"/>
          <w:szCs w:val="22"/>
        </w:rPr>
        <w:t xml:space="preserve">Table 2 gives the test error of the main arms (means over three seeds). Every LSTM beat both naive references. Centralised training was the most accurate arm and was better than local-only training for 72 % of households (Holm-adjusted </w:t>
      </w:r>
      <m:oMath>
        <m:r>
          <w:rPr>
            <w:rFonts w:ascii="Cambria Math" w:hAnsi="Cambria Math"/>
            <w:sz w:val="22"/>
            <w:szCs w:val="22"/>
          </w:rPr>
          <m:t>p</m:t>
        </m:r>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w:t>
      </w:r>
    </w:p>
    <w:p>
      <w:pPr>
        <w:keepNext/>
        <w:spacing w:before="80" w:after="160"/>
        <w:jc w:val="both"/>
      </w:pPr>
      <w:r>
        <w:rPr>
          <w:b/>
          <w:bCs/>
          <w:sz w:val="19"/>
          <w:szCs w:val="19"/>
        </w:rPr>
        <w:t>Table 2.</w:t>
      </w:r>
      <w:r>
        <w:rPr>
          <w:sz w:val="19"/>
          <w:szCs w:val="19"/>
        </w:rPr>
        <w:t xml:space="preserve"> </w:t>
      </w:r>
      <w:r>
        <w:rPr>
          <w:sz w:val="19"/>
          <w:szCs w:val="19"/>
        </w:rPr>
        <w:t xml:space="preserve">Test error of the main arms (kWh per half-hour; MAE as mean </w:t>
      </w:r>
      <m:oMath>
        <m:r>
          <w:rPr>
            <w:rFonts w:ascii="Cambria Math" w:hAnsi="Cambria Math"/>
            <w:sz w:val="19"/>
            <w:szCs w:val="19"/>
          </w:rPr>
          <m:t>±</m:t>
        </m:r>
      </m:oMath>
      <w:r>
        <w:rPr>
          <w:sz w:val="19"/>
          <w:szCs w:val="19"/>
        </w:rPr>
        <w:t xml:space="preserve"> s.d. over three seeds). Gap: MAE relative to centralised training. Traffic: upload plus download over 30 rounds; for centralised training, the raw training data. FT: after one epoch of local fine-tuning.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80"/>
        <w:gridCol w:w="672"/>
        <w:gridCol w:w="1536"/>
        <w:gridCol w:w="768"/>
        <w:gridCol w:w="960"/>
        <w:gridCol w:w="864"/>
        <w:gridCol w:w="1346"/>
      </w:tblGrid>
      <w:tr>
        <w:trPr>
          <w:tblHeader/>
          <w:cantSplit/>
        </w:trPr>
        <w:tc>
          <w:tcPr>
            <w:tcW w:w="2880"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Arm</w:t>
            </w:r>
          </w:p>
        </w:tc>
        <w:tc>
          <w:tcPr>
            <w:tcW w:w="67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153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w:t>
            </w:r>
          </w:p>
        </w:tc>
        <w:tc>
          <w:tcPr>
            <w:tcW w:w="76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RMSE</w:t>
            </w:r>
          </w:p>
        </w:tc>
        <w:tc>
          <w:tcPr>
            <w:tcW w:w="96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c>
          <w:tcPr>
            <w:tcW w:w="86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FT</w:t>
            </w:r>
          </w:p>
        </w:tc>
        <w:tc>
          <w:tcPr>
            <w:tcW w:w="134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Traffic (MB)</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Persistence</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0.0890</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0.1987</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Seasonal naive</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0.1332</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0.2773</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Local-only</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0.0840 </w:t>
            </w:r>
            <w:r>
              <w:rPr>
                <w:sz w:val="16"/>
                <w:szCs w:val="16"/>
              </w:rPr>
              <w:t xml:space="preserve">±</w:t>
            </w:r>
            <w:r>
              <w:rPr>
                <w:sz w:val="16"/>
                <w:szCs w:val="16"/>
              </w:rPr>
              <w:t xml:space="preserve"> 0.0003</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0.1779</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+3.6</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Centralised</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0.0811 </w:t>
            </w:r>
            <w:r>
              <w:rPr>
                <w:sz w:val="16"/>
                <w:szCs w:val="16"/>
              </w:rPr>
              <w:t xml:space="preserve">±</w:t>
            </w:r>
            <w:r>
              <w:rPr>
                <w:sz w:val="16"/>
                <w:szCs w:val="16"/>
              </w:rPr>
              <w:t xml:space="preserve"> 0.0003</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0.1718</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0.0</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14.0</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1</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0.0808 </w:t>
            </w:r>
            <w:r>
              <w:rPr>
                <w:sz w:val="16"/>
                <w:szCs w:val="16"/>
              </w:rPr>
              <w:t xml:space="preserve">±</w:t>
            </w:r>
            <w:r>
              <w:rPr>
                <w:sz w:val="16"/>
                <w:szCs w:val="16"/>
              </w:rPr>
              <w:t xml:space="preserve"> 0.0005</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0.1710</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-0.3</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0.0812</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4.1</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0.0827 </w:t>
            </w:r>
            <w:r>
              <w:rPr>
                <w:sz w:val="16"/>
                <w:szCs w:val="16"/>
              </w:rPr>
              <w:t xml:space="preserve">±</w:t>
            </w:r>
            <w:r>
              <w:rPr>
                <w:sz w:val="16"/>
                <w:szCs w:val="16"/>
              </w:rPr>
              <w:t xml:space="preserve"> 0.0005</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0.1721</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0.0818</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20.7</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0.0853 </w:t>
            </w:r>
            <w:r>
              <w:rPr>
                <w:sz w:val="16"/>
                <w:szCs w:val="16"/>
              </w:rPr>
              <w:t xml:space="preserve">±</w:t>
            </w:r>
            <w:r>
              <w:rPr>
                <w:sz w:val="16"/>
                <w:szCs w:val="16"/>
              </w:rPr>
              <w:t xml:space="preserve"> 0.0009</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0.1758</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+5.2</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0.0834</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0.0869 </w:t>
            </w:r>
            <w:r>
              <w:rPr>
                <w:sz w:val="16"/>
                <w:szCs w:val="16"/>
              </w:rPr>
              <w:t xml:space="preserve">±</w:t>
            </w:r>
            <w:r>
              <w:rPr>
                <w:sz w:val="16"/>
                <w:szCs w:val="16"/>
              </w:rPr>
              <w:t xml:space="preserve"> 0.0006</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0.1782</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+7.2</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0.0842</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206.6</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one home per client</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0.0894 </w:t>
            </w:r>
            <w:r>
              <w:rPr>
                <w:sz w:val="16"/>
                <w:szCs w:val="16"/>
              </w:rPr>
              <w:t xml:space="preserve">±</w:t>
            </w:r>
            <w:r>
              <w:rPr>
                <w:sz w:val="16"/>
                <w:szCs w:val="16"/>
              </w:rPr>
              <w:t xml:space="preserve"> 0.0013</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0.1816</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+10.3</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0.0851</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413.2</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0.0861 </w:t>
            </w:r>
            <w:r>
              <w:rPr>
                <w:sz w:val="16"/>
                <w:szCs w:val="16"/>
              </w:rPr>
              <w:t xml:space="preserve">±</w:t>
            </w:r>
            <w:r>
              <w:rPr>
                <w:sz w:val="16"/>
                <w:szCs w:val="16"/>
              </w:rPr>
              <w:t xml:space="preserve"> 0.0004</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0.1758</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+6.2</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0.0834</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cluster</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0.1758</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+5.7</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0.0835</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FedProx,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0.0858 </w:t>
            </w:r>
            <w:r>
              <w:rPr>
                <w:sz w:val="16"/>
                <w:szCs w:val="16"/>
              </w:rPr>
              <w:t xml:space="preserve">±</w:t>
            </w:r>
            <w:r>
              <w:rPr>
                <w:sz w:val="16"/>
                <w:szCs w:val="16"/>
              </w:rPr>
              <w:t xml:space="preserve"> 0.0001</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0.1755</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+5.9</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0.0831</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HA-FedProx,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0.0863 </w:t>
            </w:r>
            <w:r>
              <w:rPr>
                <w:sz w:val="16"/>
                <w:szCs w:val="16"/>
              </w:rPr>
              <w:t xml:space="preserve">±</w:t>
            </w:r>
            <w:r>
              <w:rPr>
                <w:sz w:val="16"/>
                <w:szCs w:val="16"/>
              </w:rPr>
              <w:t xml:space="preserve"> 0.0003</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0.1765</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+6.5</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0.0841</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880"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r>
              <w:rPr>
                <w:sz w:val="16"/>
                <w:szCs w:val="16"/>
              </w:rPr>
              <w:t xml:space="preserve">, </w:t>
            </w:r>
            <w:r>
              <w:rPr>
                <w:i/>
                <w:iCs/>
                <w:sz w:val="16"/>
                <w:szCs w:val="16"/>
              </w:rPr>
              <w:t xml:space="preserve">C</w:t>
            </w:r>
            <w:r>
              <w:rPr>
                <w:sz w:val="16"/>
                <w:szCs w:val="16"/>
              </w:rPr>
              <w:t xml:space="preserve">=</w:t>
            </w:r>
            <w:r>
              <w:rPr>
                <w:sz w:val="16"/>
                <w:szCs w:val="16"/>
              </w:rPr>
              <w:t xml:space="preserve">0</w:t>
            </w:r>
            <w:r>
              <w:rPr>
                <w:sz w:val="16"/>
                <w:szCs w:val="16"/>
              </w:rPr>
              <w:t xml:space="preserve">.</w:t>
            </w:r>
            <w:r>
              <w:rPr>
                <w:sz w:val="16"/>
                <w:szCs w:val="16"/>
              </w:rPr>
              <w:t xml:space="preserve">5</w:t>
            </w:r>
            <w:r>
              <w:rPr>
                <w:sz w:val="16"/>
                <w:szCs w:val="16"/>
              </w:rPr>
              <w:t xml:space="preserve">, stragglers</w:t>
            </w:r>
          </w:p>
        </w:tc>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keepNext/>
              <w:spacing w:before="0" w:after="0" w:line="240" w:lineRule="auto"/>
              <w:jc w:val="right"/>
            </w:pPr>
            <w:r>
              <w:rPr>
                <w:sz w:val="16"/>
                <w:szCs w:val="16"/>
              </w:rPr>
              <w:t xml:space="preserve">0.0849 </w:t>
            </w:r>
            <w:r>
              <w:rPr>
                <w:sz w:val="16"/>
                <w:szCs w:val="16"/>
              </w:rPr>
              <w:t xml:space="preserve">±</w:t>
            </w:r>
            <w:r>
              <w:rPr>
                <w:sz w:val="16"/>
                <w:szCs w:val="16"/>
              </w:rPr>
              <w:t xml:space="preserve"> 0.0004</w:t>
            </w:r>
          </w:p>
        </w:tc>
        <w:tc>
          <w:tcPr>
            <w:tcW w:w="768" w:type="dxa"/>
            <w:tcMar>
              <w:top w:w="40" w:type="dxa"/>
              <w:left w:w="80" w:type="dxa"/>
              <w:bottom w:w="40" w:type="dxa"/>
              <w:right w:w="80" w:type="dxa"/>
            </w:tcMar>
          </w:tcPr>
          <w:p>
            <w:pPr>
              <w:keepNext/>
              <w:spacing w:before="0" w:after="0" w:line="240" w:lineRule="auto"/>
              <w:jc w:val="right"/>
            </w:pPr>
            <w:r>
              <w:rPr>
                <w:sz w:val="16"/>
                <w:szCs w:val="16"/>
              </w:rPr>
              <w:t xml:space="preserve">0.1757</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+4.7</w:t>
            </w:r>
          </w:p>
        </w:tc>
        <w:tc>
          <w:tcPr>
            <w:tcW w:w="864" w:type="dxa"/>
            <w:tcMar>
              <w:top w:w="40" w:type="dxa"/>
              <w:left w:w="80" w:type="dxa"/>
              <w:bottom w:w="40" w:type="dxa"/>
              <w:right w:w="80" w:type="dxa"/>
            </w:tcMar>
          </w:tcPr>
          <w:p>
            <w:pPr>
              <w:keepNext/>
              <w:spacing w:before="0" w:after="0" w:line="240" w:lineRule="auto"/>
              <w:jc w:val="right"/>
            </w:pPr>
            <w:r>
              <w:rPr>
                <w:sz w:val="16"/>
                <w:szCs w:val="16"/>
              </w:rPr>
              <w:t xml:space="preserve">0.0834</w:t>
            </w:r>
          </w:p>
        </w:tc>
        <w:tc>
          <w:tcPr>
            <w:tcW w:w="1346" w:type="dxa"/>
            <w:tcMar>
              <w:top w:w="40" w:type="dxa"/>
              <w:left w:w="80" w:type="dxa"/>
              <w:bottom w:w="40" w:type="dxa"/>
              <w:right w:w="80" w:type="dxa"/>
            </w:tcMar>
          </w:tcPr>
          <w:p>
            <w:pPr>
              <w:keepNext/>
              <w:spacing w:before="0" w:after="0" w:line="240" w:lineRule="auto"/>
              <w:jc w:val="right"/>
            </w:pPr>
            <w:r>
              <w:rPr>
                <w:sz w:val="16"/>
                <w:szCs w:val="16"/>
              </w:rPr>
              <w:t xml:space="preserve">37.4</w:t>
            </w:r>
          </w:p>
        </w:tc>
      </w:tr>
      <w:tr>
        <w:trPr>
          <w:cantSplit/>
        </w:trPr>
        <w:tc>
          <w:tcPr>
            <w:tcW w:w="2880" w:type="dxa"/>
            <w:tcMar>
              <w:top w:w="40" w:type="dxa"/>
              <w:left w:w="80" w:type="dxa"/>
              <w:bottom w:w="40" w:type="dxa"/>
              <w:right w:w="80" w:type="dxa"/>
            </w:tcMar>
          </w:tcPr>
          <w:p>
            <w:pPr>
              <w:spacing w:before="0" w:after="0" w:line="240" w:lineRule="auto"/>
              <w:jc w:val="left"/>
            </w:pPr>
            <w:r>
              <w:rPr>
                <w:sz w:val="16"/>
                <w:szCs w:val="16"/>
              </w:rPr>
              <w:t xml:space="preserve">FedAvg,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r>
              <w:rPr>
                <w:sz w:val="16"/>
                <w:szCs w:val="16"/>
              </w:rPr>
              <w:t xml:space="preserve">, 16-bit</w:t>
            </w:r>
          </w:p>
        </w:tc>
        <w:tc>
          <w:tcPr>
            <w:tcW w:w="672" w:type="dxa"/>
            <w:tcMar>
              <w:top w:w="40" w:type="dxa"/>
              <w:left w:w="80" w:type="dxa"/>
              <w:bottom w:w="40" w:type="dxa"/>
              <w:right w:w="80" w:type="dxa"/>
            </w:tcMar>
          </w:tcPr>
          <w:p>
            <w:pPr>
              <w:spacing w:before="0" w:after="0" w:line="240" w:lineRule="auto"/>
              <w:jc w:val="right"/>
            </w:pPr>
            <w:r>
              <w:rPr>
                <w:sz w:val="16"/>
                <w:szCs w:val="16"/>
              </w:rPr>
              <w:t xml:space="preserve">20</w:t>
            </w:r>
          </w:p>
        </w:tc>
        <w:tc>
          <w:tcPr>
            <w:tcW w:w="1536" w:type="dxa"/>
            <w:tcMar>
              <w:top w:w="40" w:type="dxa"/>
              <w:left w:w="80" w:type="dxa"/>
              <w:bottom w:w="40" w:type="dxa"/>
              <w:right w:w="80" w:type="dxa"/>
            </w:tcMar>
          </w:tcPr>
          <w:p>
            <w:pPr>
              <w:spacing w:before="0" w:after="0" w:line="240" w:lineRule="auto"/>
              <w:jc w:val="right"/>
            </w:pPr>
            <w:r>
              <w:rPr>
                <w:sz w:val="16"/>
                <w:szCs w:val="16"/>
              </w:rPr>
              <w:t xml:space="preserve">0.0858 </w:t>
            </w:r>
            <w:r>
              <w:rPr>
                <w:sz w:val="16"/>
                <w:szCs w:val="16"/>
              </w:rPr>
              <w:t xml:space="preserve">±</w:t>
            </w:r>
            <w:r>
              <w:rPr>
                <w:sz w:val="16"/>
                <w:szCs w:val="16"/>
              </w:rPr>
              <w:t xml:space="preserve"> 0.0005</w:t>
            </w:r>
          </w:p>
        </w:tc>
        <w:tc>
          <w:tcPr>
            <w:tcW w:w="768" w:type="dxa"/>
            <w:tcMar>
              <w:top w:w="40" w:type="dxa"/>
              <w:left w:w="80" w:type="dxa"/>
              <w:bottom w:w="40" w:type="dxa"/>
              <w:right w:w="80" w:type="dxa"/>
            </w:tcMar>
          </w:tcPr>
          <w:p>
            <w:pPr>
              <w:spacing w:before="0" w:after="0" w:line="240" w:lineRule="auto"/>
              <w:jc w:val="right"/>
            </w:pPr>
            <w:r>
              <w:rPr>
                <w:sz w:val="16"/>
                <w:szCs w:val="16"/>
              </w:rPr>
              <w:t xml:space="preserve">0.1756</w:t>
            </w:r>
          </w:p>
        </w:tc>
        <w:tc>
          <w:tcPr>
            <w:tcW w:w="960" w:type="dxa"/>
            <w:tcMar>
              <w:top w:w="40" w:type="dxa"/>
              <w:left w:w="80" w:type="dxa"/>
              <w:bottom w:w="40" w:type="dxa"/>
              <w:right w:w="80" w:type="dxa"/>
            </w:tcMar>
          </w:tcPr>
          <w:p>
            <w:pPr>
              <w:spacing w:before="0" w:after="0" w:line="240" w:lineRule="auto"/>
              <w:jc w:val="right"/>
            </w:pPr>
            <w:r>
              <w:rPr>
                <w:sz w:val="16"/>
                <w:szCs w:val="16"/>
              </w:rPr>
              <w:t xml:space="preserve">+5.8</w:t>
            </w:r>
          </w:p>
        </w:tc>
        <w:tc>
          <w:tcPr>
            <w:tcW w:w="864" w:type="dxa"/>
            <w:tcMar>
              <w:top w:w="40" w:type="dxa"/>
              <w:left w:w="80" w:type="dxa"/>
              <w:bottom w:w="40" w:type="dxa"/>
              <w:right w:w="80" w:type="dxa"/>
            </w:tcMar>
          </w:tcPr>
          <w:p>
            <w:pPr>
              <w:spacing w:before="0" w:after="0" w:line="240" w:lineRule="auto"/>
              <w:jc w:val="right"/>
            </w:pPr>
            <w:r>
              <w:rPr>
                <w:sz w:val="16"/>
                <w:szCs w:val="16"/>
              </w:rPr>
              <w:t xml:space="preserve">0.0833</w:t>
            </w:r>
          </w:p>
        </w:tc>
        <w:tc>
          <w:tcPr>
            <w:tcW w:w="1346" w:type="dxa"/>
            <w:tcMar>
              <w:top w:w="40" w:type="dxa"/>
              <w:left w:w="80" w:type="dxa"/>
              <w:bottom w:w="40" w:type="dxa"/>
              <w:right w:w="80" w:type="dxa"/>
            </w:tcMar>
          </w:tcPr>
          <w:p>
            <w:pPr>
              <w:spacing w:before="0" w:after="0" w:line="240" w:lineRule="auto"/>
              <w:jc w:val="right"/>
            </w:pPr>
            <w:r>
              <w:rPr>
                <w:sz w:val="16"/>
                <w:szCs w:val="16"/>
              </w:rPr>
              <w:t xml:space="preserve">41.3</w:t>
            </w:r>
          </w:p>
        </w:tc>
      </w:tr>
    </w:tbl>
    <w:p>
      <w:pPr>
        <w:spacing w:after="120"/>
      </w:pPr>
    </w:p>
    <w:p>
      <w:pPr>
        <w:spacing w:after="120" w:line="276" w:lineRule="auto"/>
        <w:jc w:val="both"/>
      </w:pPr>
      <w:r>
        <w:rPr>
          <w:sz w:val="22"/>
          <w:szCs w:val="22"/>
        </w:rPr>
        <w:t xml:space="preserve">Running the federated protocol on a single client holding all homes (</w:t>
      </w:r>
      <m:oMath>
        <m:r>
          <w:rPr>
            <w:rFonts w:ascii="Cambria Math" w:hAnsi="Cambria Math"/>
            <w:sz w:val="22"/>
            <w:szCs w:val="22"/>
          </w:rPr>
          <m:t>K=1</m:t>
        </m:r>
      </m:oMath>
      <w:r>
        <w:rPr>
          <w:sz w:val="22"/>
          <w:szCs w:val="22"/>
        </w:rPr>
        <w:t xml:space="preserve">) reproduced centralised accuracy, with no significant per-household difference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0.3138). The gap appeared as soon as the data were split and grew with the number of clients (Fig. 2): from 2.0 % at </w:t>
      </w:r>
      <m:oMath>
        <m:r>
          <w:rPr>
            <w:rFonts w:ascii="Cambria Math" w:hAnsi="Cambria Math"/>
            <w:sz w:val="22"/>
            <w:szCs w:val="22"/>
          </w:rPr>
          <m:t>K=5</m:t>
        </m:r>
      </m:oMath>
      <w:r>
        <w:rPr>
          <w:sz w:val="22"/>
          <w:szCs w:val="22"/>
        </w:rPr>
        <w:t xml:space="preserve"> to 5.2 % at </w:t>
      </w:r>
      <m:oMath>
        <m:r>
          <w:rPr>
            <w:rFonts w:ascii="Cambria Math" w:hAnsi="Cambria Math"/>
            <w:sz w:val="22"/>
            <w:szCs w:val="22"/>
          </w:rPr>
          <m:t>K=20</m:t>
        </m:r>
      </m:oMath>
      <w:r>
        <w:rPr>
          <w:sz w:val="22"/>
          <w:szCs w:val="22"/>
        </w:rPr>
        <w:t xml:space="preserve">, 7.2 % at </w:t>
      </w:r>
      <m:oMath>
        <m:r>
          <w:rPr>
            <w:rFonts w:ascii="Cambria Math" w:hAnsi="Cambria Math"/>
            <w:sz w:val="22"/>
            <w:szCs w:val="22"/>
          </w:rPr>
          <m:t>K=50</m:t>
        </m:r>
      </m:oMath>
      <w:r>
        <w:rPr>
          <w:sz w:val="22"/>
          <w:szCs w:val="22"/>
        </w:rPr>
        <w:t xml:space="preserve"> and 10.3 % at </w:t>
      </w:r>
      <m:oMath>
        <m:r>
          <w:rPr>
            <w:rFonts w:ascii="Cambria Math" w:hAnsi="Cambria Math"/>
            <w:sz w:val="22"/>
            <w:szCs w:val="22"/>
          </w:rPr>
          <m:t>K=100</m:t>
        </m:r>
      </m:oMath>
      <w:r>
        <w:rPr>
          <w:sz w:val="22"/>
          <w:szCs w:val="22"/>
        </w:rPr>
        <w:t xml:space="preserve">. Because splitting also raises heterogeneity, the two were separated by regressing per-run FedAvg MAE on </w:t>
      </w:r>
      <m:oMath>
        <m:r>
          <m:rPr>
            <m:sty m:val="p"/>
          </m:rPr>
          <w:rPr>
            <w:rFonts w:ascii="Cambria Math" w:hAnsi="Cambria Math"/>
            <w:sz w:val="22"/>
            <w:szCs w:val="22"/>
          </w:rPr>
          <m:t>log</m:t>
        </m:r>
        <m:r>
          <w:rPr>
            <w:rFonts w:ascii="Cambria Math" w:hAnsi="Cambria Math"/>
            <w:sz w:val="22"/>
            <w:szCs w:val="22"/>
          </w:rPr>
          <m:t>K</m:t>
        </m:r>
      </m:oMath>
      <w:r>
        <w:rPr>
          <w:sz w:val="22"/>
          <w:szCs w:val="22"/>
        </w:rPr>
        <w:t xml:space="preserve"> and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t>
      </w:r>
      <m:oMath>
        <m:r>
          <w:rPr>
            <w:rFonts w:ascii="Cambria Math" w:hAnsi="Cambria Math"/>
            <w:sz w:val="22"/>
            <w:szCs w:val="22"/>
          </w:rPr>
          <m:t>n=24</m:t>
        </m:r>
      </m:oMath>
      <w:r>
        <w:rPr>
          <w:sz w:val="22"/>
          <w:szCs w:val="22"/>
        </w:rPr>
        <w:t xml:space="preserve">, </w:t>
      </w:r>
      <m:oMath>
        <m:sSup>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=0.88</m:t>
        </m:r>
      </m:oMath>
      <w:r>
        <w:rPr>
          <w:sz w:val="22"/>
          <w:szCs w:val="22"/>
        </w:rPr>
        <w:t xml:space="preserve">): each unit of </w:t>
      </w:r>
      <m:oMath>
        <m:r>
          <m:rPr>
            <m:sty m:val="p"/>
          </m:rPr>
          <w:rPr>
            <w:rFonts w:ascii="Cambria Math" w:hAnsi="Cambria Math"/>
            <w:sz w:val="22"/>
            <w:szCs w:val="22"/>
          </w:rPr>
          <m:t>log</m:t>
        </m:r>
        <m:r>
          <w:rPr>
            <w:rFonts w:ascii="Cambria Math" w:hAnsi="Cambria Math"/>
            <w:sz w:val="22"/>
            <w:szCs w:val="22"/>
          </w:rPr>
          <m:t>K</m:t>
        </m:r>
      </m:oMath>
      <w:r>
        <w:rPr>
          <w:sz w:val="22"/>
          <w:szCs w:val="22"/>
        </w:rPr>
        <w:t xml:space="preserve"> added </w:t>
      </w:r>
      <m:oMath>
        <m:r>
          <w:rPr>
            <w:rFonts w:ascii="Cambria Math" w:hAnsi="Cambria Math"/>
            <w:sz w:val="22"/>
            <w:szCs w:val="22"/>
          </w:rPr>
          <m:t>1.33×</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kWh (</w:t>
      </w:r>
      <m:oMath>
        <m:r>
          <w:rPr>
            <w:rFonts w:ascii="Cambria Math" w:hAnsi="Cambria Math"/>
            <w:sz w:val="22"/>
            <w:szCs w:val="22"/>
          </w:rPr>
          <m:t>p</m:t>
        </m:r>
      </m:oMath>
      <w:r>
        <w:rPr>
          <w:sz w:val="22"/>
          <w:szCs w:val="22"/>
        </w:rPr>
        <w:t xml:space="preserve"> 0.0070), while the heterogeneity term was not significant (</w:t>
      </w:r>
      <m:oMath>
        <m:r>
          <w:rPr>
            <w:rFonts w:ascii="Cambria Math" w:hAnsi="Cambria Math"/>
            <w:sz w:val="22"/>
            <w:szCs w:val="22"/>
          </w:rPr>
          <m:t>p</m:t>
        </m:r>
      </m:oMath>
      <w:r>
        <w:rPr>
          <w:sz w:val="22"/>
          <w:szCs w:val="22"/>
        </w:rPr>
        <w:t xml:space="preserve"> 0.0553). Fifty clients of two random homes (</w:t>
      </w:r>
      <m:oMath>
        <m:r>
          <w:rPr>
            <w:rFonts w:ascii="Cambria Math" w:hAnsi="Cambria Math"/>
            <w:sz w:val="22"/>
            <w:szCs w:val="22"/>
          </w:rPr>
          <m:t>H=0.354</m:t>
        </m:r>
      </m:oMath>
      <w:r>
        <w:rPr>
          <w:sz w:val="22"/>
          <w:szCs w:val="22"/>
        </w:rPr>
        <w:t xml:space="preserve">) were also worse than twenty clients grouped by load profile (</w:t>
      </w:r>
      <m:oMath>
        <m:r>
          <w:rPr>
            <w:rFonts w:ascii="Cambria Math" w:hAnsi="Cambria Math"/>
            <w:sz w:val="22"/>
            <w:szCs w:val="22"/>
          </w:rPr>
          <m:t>H=0.381</m:t>
        </m:r>
      </m:oMath>
      <w:r>
        <w:rPr>
          <w:sz w:val="22"/>
          <w:szCs w:val="22"/>
        </w:rPr>
        <w:t xml:space="preserve">): 0.0869 against 0.0857 kWh.</w:t>
      </w:r>
    </w:p>
    <w:p>
      <w:pPr>
        <w:keepNext/>
        <w:spacing w:before="0"/>
        <w:jc w:val="center"/>
      </w:pPr>
      <w:r>
        <w:drawing>
          <wp:inline xmlns:a="http://schemas.openxmlformats.org/drawingml/2006/main" xmlns:pic="http://schemas.openxmlformats.org/drawingml/2006/picture">
            <wp:extent cx="3554638" cy="2062352"/>
            <wp:docPr id="2" name="Picture 2"/>
            <wp:cNvGraphicFramePr>
              <a:graphicFrameLocks noChangeAspect="1"/>
            </wp:cNvGraphicFramePr>
            <a:graphic>
              <a:graphicData uri="http://schemas.openxmlformats.org/drawingml/2006/picture">
                <pic:pic>
                  <pic:nvPicPr>
                    <pic:cNvPr id="0" name="fragmentation.png"/>
                    <pic:cNvPicPr/>
                  </pic:nvPicPr>
                  <pic:blipFill>
                    <a:blip r:embed="rId9"/>
                    <a:stretch>
                      <a:fillRect/>
                    </a:stretch>
                  </pic:blipFill>
                  <pic:spPr>
                    <a:xfrm>
                      <a:off x="0" y="0"/>
                      <a:ext cx="3554638" cy="2062352"/>
                    </a:xfrm>
                    <a:prstGeom prst="rect"/>
                  </pic:spPr>
                </pic:pic>
              </a:graphicData>
            </a:graphic>
          </wp:inline>
        </w:drawing>
      </w:r>
    </w:p>
    <w:p>
      <w:pPr>
        <w:spacing w:before="80" w:after="160"/>
        <w:jc w:val="both"/>
      </w:pPr>
      <w:r>
        <w:rPr>
          <w:b/>
          <w:bCs/>
          <w:sz w:val="19"/>
          <w:szCs w:val="19"/>
        </w:rPr>
        <w:t>Figure 2.</w:t>
      </w:r>
      <w:r>
        <w:rPr>
          <w:sz w:val="19"/>
          <w:szCs w:val="19"/>
        </w:rPr>
        <w:t xml:space="preserve"> </w:t>
      </w:r>
      <w:r>
        <w:rPr>
          <w:sz w:val="19"/>
          <w:szCs w:val="19"/>
        </w:rPr>
        <w:t xml:space="preserve">Test MAE (kWh) when the same 100 households are split over </w:t>
      </w:r>
      <m:oMath>
        <m:r>
          <w:rPr>
            <w:rFonts w:ascii="Cambria Math" w:hAnsi="Cambria Math"/>
            <w:sz w:val="19"/>
            <w:szCs w:val="19"/>
          </w:rPr>
          <m:t>K</m:t>
        </m:r>
      </m:oMath>
      <w:r>
        <w:rPr>
          <w:sz w:val="19"/>
          <w:szCs w:val="19"/>
        </w:rPr>
        <w:t xml:space="preserve"> clients with random grouping (mean </w:t>
      </w:r>
      <m:oMath>
        <m:r>
          <w:rPr>
            <w:rFonts w:ascii="Cambria Math" w:hAnsi="Cambria Math"/>
            <w:sz w:val="19"/>
            <w:szCs w:val="19"/>
          </w:rPr>
          <m:t>±</m:t>
        </m:r>
      </m:oMath>
      <w:r>
        <w:rPr>
          <w:sz w:val="19"/>
          <w:szCs w:val="19"/>
        </w:rPr>
        <w:t xml:space="preserve"> s.d. over three seeds). Dashed: after one epoch of local fine-tuning.</w:t>
      </w:r>
    </w:p>
    <w:p>
      <w:pPr>
        <w:pStyle w:val="3"/>
        <w:keepNext/>
        <w:spacing w:before="220" w:after="100"/>
      </w:pPr>
      <w:r>
        <w:rPr>
          <w:b/>
          <w:bCs/>
          <w:color w:val="2F4F7F"/>
          <w:sz w:val="23"/>
          <w:szCs w:val="23"/>
        </w:rPr>
        <w:t xml:space="preserve">4.2 Heterogeneity changes the price of accuracy, not accuracy</w:t>
      </w:r>
    </w:p>
    <w:p>
      <w:pPr>
        <w:spacing w:after="120" w:line="276" w:lineRule="auto"/>
        <w:jc w:val="both"/>
      </w:pPr>
      <w:r>
        <w:rPr>
          <w:sz w:val="22"/>
          <w:szCs w:val="22"/>
        </w:rPr>
        <w:t xml:space="preserve">At </w:t>
      </w:r>
      <m:oMath>
        <m:r>
          <w:rPr>
            <w:rFonts w:ascii="Cambria Math" w:hAnsi="Cambria Math"/>
            <w:sz w:val="22"/>
            <w:szCs w:val="22"/>
          </w:rPr>
          <m:t>K=20</m:t>
        </m:r>
      </m:oMath>
      <w:r>
        <w:rPr>
          <w:sz w:val="22"/>
          <w:szCs w:val="22"/>
        </w:rPr>
        <w:t xml:space="preserve">, the load-shape divergence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roughly doubled from random to cluster grouping (Table 3), while the composite index </w:t>
      </w:r>
      <m:oMath>
        <m:r>
          <w:rPr>
            <w:rFonts w:ascii="Cambria Math" w:hAnsi="Cambria Math"/>
            <w:sz w:val="22"/>
            <w:szCs w:val="22"/>
          </w:rPr>
          <m:t>H</m:t>
        </m:r>
      </m:oMath>
      <w:r>
        <w:rPr>
          <w:sz w:val="22"/>
          <w:szCs w:val="22"/>
        </w:rPr>
        <w:t xml:space="preserve"> did not increase monotonically, so nominal labels such as </w:t>
      </w:r>
      <m:oMath>
        <m:r>
          <w:rPr>
            <w:rFonts w:ascii="Cambria Math" w:hAnsi="Cambria Math"/>
            <w:sz w:val="22"/>
            <w:szCs w:val="22"/>
          </w:rPr>
          <m:t>α</m:t>
        </m:r>
      </m:oMath>
      <w:r>
        <w:rPr>
          <w:sz w:val="22"/>
          <w:szCs w:val="22"/>
        </w:rPr>
        <w:t xml:space="preserve"> are a poor proxy for heterogeneity. Across this range final FedAvg error moved by at most 0.0012 kWh, comparable to the seed-to-seed spread, and the cluster partition was not significantly different from random grouping per household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0.0884). The traffic needed to come within 10 % of centralised validation error, however, grew from 12.9 MB with random grouping to 23.9 MB under the cluster partition, about 85 % more (Fig. 3).</w:t>
      </w:r>
    </w:p>
    <w:p>
      <w:pPr>
        <w:keepNext/>
        <w:spacing w:before="80" w:after="160"/>
        <w:jc w:val="both"/>
      </w:pPr>
      <w:r>
        <w:rPr>
          <w:b/>
          <w:bCs/>
          <w:sz w:val="19"/>
          <w:szCs w:val="19"/>
        </w:rPr>
        <w:t>Table 3.</w:t>
      </w:r>
      <w:r>
        <w:rPr>
          <w:sz w:val="19"/>
          <w:szCs w:val="19"/>
        </w:rPr>
        <w:t xml:space="preserve"> </w:t>
      </w:r>
      <w:r>
        <w:rPr>
          <w:sz w:val="19"/>
          <w:szCs w:val="19"/>
        </w:rPr>
        <w:t xml:space="preserve">Heterogeneity sweep for FedAvg (</w:t>
      </w:r>
      <m:oMath>
        <m:r>
          <w:rPr>
            <w:rFonts w:ascii="Cambria Math" w:hAnsi="Cambria Math"/>
            <w:sz w:val="19"/>
            <w:szCs w:val="19"/>
          </w:rPr>
          <m:t>K=20</m:t>
        </m:r>
      </m:oMath>
      <w:r>
        <w:rPr>
          <w:sz w:val="19"/>
          <w:szCs w:val="19"/>
        </w:rPr>
        <w:t xml:space="preserve">): measured indices, mean update disagreement </w:t>
      </w:r>
      <m:oMath>
        <m:bar>
          <m:barPr>
            <m:pos m:val="top"/>
          </m:barPr>
          <m:e>
            <m:r>
              <w:rPr>
                <w:rFonts w:ascii="Cambria Math" w:hAnsi="Cambria Math"/>
                <w:sz w:val="19"/>
                <w:szCs w:val="19"/>
              </w:rPr>
              <m:t>ρ</m:t>
            </m:r>
          </m:e>
        </m:bar>
      </m:oMath>
      <w:r>
        <w:rPr>
          <w:sz w:val="19"/>
          <w:szCs w:val="19"/>
        </w:rPr>
        <w:t xml:space="preserve">, test MAE (kWh, mean </w:t>
      </w:r>
      <m:oMath>
        <m:r>
          <w:rPr>
            <w:rFonts w:ascii="Cambria Math" w:hAnsi="Cambria Math"/>
            <w:sz w:val="19"/>
            <w:szCs w:val="19"/>
          </w:rPr>
          <m:t>±</m:t>
        </m:r>
      </m:oMath>
      <w:r>
        <w:rPr>
          <w:sz w:val="19"/>
          <w:szCs w:val="19"/>
        </w:rPr>
        <w:t xml:space="preserve"> s.d.) and gap to centralised training.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18"/>
        <w:gridCol w:w="902"/>
        <w:gridCol w:w="1031"/>
        <w:gridCol w:w="902"/>
        <w:gridCol w:w="2063"/>
        <w:gridCol w:w="2710"/>
      </w:tblGrid>
      <w:tr>
        <w:trPr>
          <w:tblHeader/>
          <w:cantSplit/>
        </w:trPr>
        <w:tc>
          <w:tcPr>
            <w:tcW w:w="1418"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Partition</w:t>
            </w:r>
          </w:p>
        </w:tc>
        <w:tc>
          <w:tcPr>
            <w:tcW w:w="90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H</w:t>
            </w:r>
          </w:p>
        </w:tc>
        <w:tc>
          <w:tcPr>
            <w:tcW w:w="1031"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H</w:t>
            </w:r>
            <w:r>
              <w:rPr>
                <w:b/>
                <w:bCs/>
                <w:color w:val="FFFFFF"/>
                <w:sz w:val="17"/>
                <w:szCs w:val="17"/>
                <w:vertAlign w:val="subscript"/>
              </w:rPr>
              <w:t xml:space="preserve">JS</w:t>
            </w:r>
          </w:p>
        </w:tc>
        <w:tc>
          <w:tcPr>
            <w:tcW w:w="90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ρ</w:t>
            </w:r>
            <w:r>
              <w:rPr>
                <w:b/>
                <w:bCs/>
                <w:color w:val="FFFFFF"/>
                <w:sz w:val="17"/>
                <w:szCs w:val="17"/>
              </w:rPr>
              <w:t xml:space="preserve">̄</w:t>
            </w:r>
          </w:p>
        </w:tc>
        <w:tc>
          <w:tcPr>
            <w:tcW w:w="206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Test MAE</w:t>
            </w:r>
          </w:p>
        </w:tc>
        <w:tc>
          <w:tcPr>
            <w:tcW w:w="271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Gap to central (%)</w:t>
            </w:r>
          </w:p>
        </w:tc>
      </w:tr>
      <w:tr>
        <w:trPr>
          <w:cantSplit/>
        </w:trPr>
        <w:tc>
          <w:tcPr>
            <w:tcW w:w="1418" w:type="dxa"/>
            <w:tcMar>
              <w:top w:w="40" w:type="dxa"/>
              <w:left w:w="80" w:type="dxa"/>
              <w:bottom w:w="40" w:type="dxa"/>
              <w:right w:w="80" w:type="dxa"/>
            </w:tcMar>
          </w:tcPr>
          <w:p>
            <w:pPr>
              <w:keepNext/>
              <w:spacing w:before="0" w:after="0" w:line="240" w:lineRule="auto"/>
              <w:jc w:val="left"/>
            </w:pPr>
            <w:r>
              <w:rPr>
                <w:i/>
                <w:iCs/>
                <w:sz w:val="17"/>
                <w:szCs w:val="17"/>
              </w:rPr>
              <w:t xml:space="preserve">α</w:t>
            </w:r>
            <w:r>
              <w:rPr>
                <w:sz w:val="17"/>
                <w:szCs w:val="17"/>
              </w:rPr>
              <w:t xml:space="preserve">=0.1</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0.242</w:t>
            </w:r>
          </w:p>
        </w:tc>
        <w:tc>
          <w:tcPr>
            <w:tcW w:w="1031" w:type="dxa"/>
            <w:tcMar>
              <w:top w:w="40" w:type="dxa"/>
              <w:left w:w="80" w:type="dxa"/>
              <w:bottom w:w="40" w:type="dxa"/>
              <w:right w:w="80" w:type="dxa"/>
            </w:tcMar>
          </w:tcPr>
          <w:p>
            <w:pPr>
              <w:keepNext/>
              <w:spacing w:before="0" w:after="0" w:line="240" w:lineRule="auto"/>
              <w:jc w:val="right"/>
            </w:pPr>
            <w:r>
              <w:rPr>
                <w:sz w:val="17"/>
                <w:szCs w:val="17"/>
              </w:rPr>
              <w:t xml:space="preserve">0.0181</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0.876</w:t>
            </w:r>
          </w:p>
        </w:tc>
        <w:tc>
          <w:tcPr>
            <w:tcW w:w="2063" w:type="dxa"/>
            <w:tcMar>
              <w:top w:w="40" w:type="dxa"/>
              <w:left w:w="80" w:type="dxa"/>
              <w:bottom w:w="40" w:type="dxa"/>
              <w:right w:w="80" w:type="dxa"/>
            </w:tcMar>
          </w:tcPr>
          <w:p>
            <w:pPr>
              <w:keepNext/>
              <w:spacing w:before="0" w:after="0" w:line="240" w:lineRule="auto"/>
              <w:jc w:val="right"/>
            </w:pPr>
            <w:r>
              <w:rPr>
                <w:sz w:val="17"/>
                <w:szCs w:val="17"/>
              </w:rPr>
              <w:t xml:space="preserve">0.0856 </w:t>
            </w:r>
            <w:r>
              <w:rPr>
                <w:sz w:val="17"/>
                <w:szCs w:val="17"/>
              </w:rPr>
              <w:t xml:space="preserve">±</w:t>
            </w:r>
            <w:r>
              <w:rPr>
                <w:sz w:val="17"/>
                <w:szCs w:val="17"/>
              </w:rPr>
              <w:t xml:space="preserve"> 0.0005</w:t>
            </w:r>
          </w:p>
        </w:tc>
        <w:tc>
          <w:tcPr>
            <w:tcW w:w="2710" w:type="dxa"/>
            <w:tcMar>
              <w:top w:w="40" w:type="dxa"/>
              <w:left w:w="80" w:type="dxa"/>
              <w:bottom w:w="40" w:type="dxa"/>
              <w:right w:w="80" w:type="dxa"/>
            </w:tcMar>
          </w:tcPr>
          <w:p>
            <w:pPr>
              <w:keepNext/>
              <w:spacing w:before="0" w:after="0" w:line="240" w:lineRule="auto"/>
              <w:jc w:val="right"/>
            </w:pPr>
            <w:r>
              <w:rPr>
                <w:sz w:val="17"/>
                <w:szCs w:val="17"/>
              </w:rPr>
              <w:t xml:space="preserve">+5.6</w:t>
            </w:r>
          </w:p>
        </w:tc>
      </w:tr>
      <w:tr>
        <w:trPr>
          <w:cantSplit/>
        </w:trPr>
        <w:tc>
          <w:tcPr>
            <w:tcW w:w="1418" w:type="dxa"/>
            <w:tcMar>
              <w:top w:w="40" w:type="dxa"/>
              <w:left w:w="80" w:type="dxa"/>
              <w:bottom w:w="40" w:type="dxa"/>
              <w:right w:w="80" w:type="dxa"/>
            </w:tcMar>
          </w:tcPr>
          <w:p>
            <w:pPr>
              <w:keepNext/>
              <w:spacing w:before="0" w:after="0" w:line="240" w:lineRule="auto"/>
              <w:jc w:val="left"/>
            </w:pPr>
            <w:r>
              <w:rPr>
                <w:i/>
                <w:iCs/>
                <w:sz w:val="17"/>
                <w:szCs w:val="17"/>
              </w:rPr>
              <w:t xml:space="preserve">α</w:t>
            </w:r>
            <w:r>
              <w:rPr>
                <w:sz w:val="17"/>
                <w:szCs w:val="17"/>
              </w:rPr>
              <w:t xml:space="preserve">=0.3</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0.243</w:t>
            </w:r>
          </w:p>
        </w:tc>
        <w:tc>
          <w:tcPr>
            <w:tcW w:w="1031" w:type="dxa"/>
            <w:tcMar>
              <w:top w:w="40" w:type="dxa"/>
              <w:left w:w="80" w:type="dxa"/>
              <w:bottom w:w="40" w:type="dxa"/>
              <w:right w:w="80" w:type="dxa"/>
            </w:tcMar>
          </w:tcPr>
          <w:p>
            <w:pPr>
              <w:keepNext/>
              <w:spacing w:before="0" w:after="0" w:line="240" w:lineRule="auto"/>
              <w:jc w:val="right"/>
            </w:pPr>
            <w:r>
              <w:rPr>
                <w:sz w:val="17"/>
                <w:szCs w:val="17"/>
              </w:rPr>
              <w:t xml:space="preserve">0.0153</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0.874</w:t>
            </w:r>
          </w:p>
        </w:tc>
        <w:tc>
          <w:tcPr>
            <w:tcW w:w="2063" w:type="dxa"/>
            <w:tcMar>
              <w:top w:w="40" w:type="dxa"/>
              <w:left w:w="80" w:type="dxa"/>
              <w:bottom w:w="40" w:type="dxa"/>
              <w:right w:w="80" w:type="dxa"/>
            </w:tcMar>
          </w:tcPr>
          <w:p>
            <w:pPr>
              <w:keepNext/>
              <w:spacing w:before="0" w:after="0" w:line="240" w:lineRule="auto"/>
              <w:jc w:val="right"/>
            </w:pPr>
            <w:r>
              <w:rPr>
                <w:sz w:val="17"/>
                <w:szCs w:val="17"/>
              </w:rPr>
              <w:t xml:space="preserve">0.0861 </w:t>
            </w:r>
            <w:r>
              <w:rPr>
                <w:sz w:val="17"/>
                <w:szCs w:val="17"/>
              </w:rPr>
              <w:t xml:space="preserve">±</w:t>
            </w:r>
            <w:r>
              <w:rPr>
                <w:sz w:val="17"/>
                <w:szCs w:val="17"/>
              </w:rPr>
              <w:t xml:space="preserve"> 0.0004</w:t>
            </w:r>
          </w:p>
        </w:tc>
        <w:tc>
          <w:tcPr>
            <w:tcW w:w="2710" w:type="dxa"/>
            <w:tcMar>
              <w:top w:w="40" w:type="dxa"/>
              <w:left w:w="80" w:type="dxa"/>
              <w:bottom w:w="40" w:type="dxa"/>
              <w:right w:w="80" w:type="dxa"/>
            </w:tcMar>
          </w:tcPr>
          <w:p>
            <w:pPr>
              <w:keepNext/>
              <w:spacing w:before="0" w:after="0" w:line="240" w:lineRule="auto"/>
              <w:jc w:val="right"/>
            </w:pPr>
            <w:r>
              <w:rPr>
                <w:sz w:val="17"/>
                <w:szCs w:val="17"/>
              </w:rPr>
              <w:t xml:space="preserve">+6.2</w:t>
            </w:r>
          </w:p>
        </w:tc>
      </w:tr>
      <w:tr>
        <w:trPr>
          <w:cantSplit/>
        </w:trPr>
        <w:tc>
          <w:tcPr>
            <w:tcW w:w="1418" w:type="dxa"/>
            <w:tcMar>
              <w:top w:w="40" w:type="dxa"/>
              <w:left w:w="80" w:type="dxa"/>
              <w:bottom w:w="40" w:type="dxa"/>
              <w:right w:w="80" w:type="dxa"/>
            </w:tcMar>
          </w:tcPr>
          <w:p>
            <w:pPr>
              <w:keepNext/>
              <w:spacing w:before="0" w:after="0" w:line="240" w:lineRule="auto"/>
              <w:jc w:val="left"/>
            </w:pPr>
            <w:r>
              <w:rPr>
                <w:sz w:val="17"/>
                <w:szCs w:val="17"/>
              </w:rPr>
              <w:t xml:space="preserve">random</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0.255</w:t>
            </w:r>
          </w:p>
        </w:tc>
        <w:tc>
          <w:tcPr>
            <w:tcW w:w="1031" w:type="dxa"/>
            <w:tcMar>
              <w:top w:w="40" w:type="dxa"/>
              <w:left w:w="80" w:type="dxa"/>
              <w:bottom w:w="40" w:type="dxa"/>
              <w:right w:w="80" w:type="dxa"/>
            </w:tcMar>
          </w:tcPr>
          <w:p>
            <w:pPr>
              <w:keepNext/>
              <w:spacing w:before="0" w:after="0" w:line="240" w:lineRule="auto"/>
              <w:jc w:val="right"/>
            </w:pPr>
            <w:r>
              <w:rPr>
                <w:sz w:val="17"/>
                <w:szCs w:val="17"/>
              </w:rPr>
              <w:t xml:space="preserve">0.0105</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0.856</w:t>
            </w:r>
          </w:p>
        </w:tc>
        <w:tc>
          <w:tcPr>
            <w:tcW w:w="2063" w:type="dxa"/>
            <w:tcMar>
              <w:top w:w="40" w:type="dxa"/>
              <w:left w:w="80" w:type="dxa"/>
              <w:bottom w:w="40" w:type="dxa"/>
              <w:right w:w="80" w:type="dxa"/>
            </w:tcMar>
          </w:tcPr>
          <w:p>
            <w:pPr>
              <w:keepNext/>
              <w:spacing w:before="0" w:after="0" w:line="240" w:lineRule="auto"/>
              <w:jc w:val="right"/>
            </w:pPr>
            <w:r>
              <w:rPr>
                <w:sz w:val="17"/>
                <w:szCs w:val="17"/>
              </w:rPr>
              <w:t xml:space="preserve">0.0853 </w:t>
            </w:r>
            <w:r>
              <w:rPr>
                <w:sz w:val="17"/>
                <w:szCs w:val="17"/>
              </w:rPr>
              <w:t xml:space="preserve">±</w:t>
            </w:r>
            <w:r>
              <w:rPr>
                <w:sz w:val="17"/>
                <w:szCs w:val="17"/>
              </w:rPr>
              <w:t xml:space="preserve"> 0.0009</w:t>
            </w:r>
          </w:p>
        </w:tc>
        <w:tc>
          <w:tcPr>
            <w:tcW w:w="2710" w:type="dxa"/>
            <w:tcMar>
              <w:top w:w="40" w:type="dxa"/>
              <w:left w:w="80" w:type="dxa"/>
              <w:bottom w:w="40" w:type="dxa"/>
              <w:right w:w="80" w:type="dxa"/>
            </w:tcMar>
          </w:tcPr>
          <w:p>
            <w:pPr>
              <w:keepNext/>
              <w:spacing w:before="0" w:after="0" w:line="240" w:lineRule="auto"/>
              <w:jc w:val="right"/>
            </w:pPr>
            <w:r>
              <w:rPr>
                <w:sz w:val="17"/>
                <w:szCs w:val="17"/>
              </w:rPr>
              <w:t xml:space="preserve">+5.2</w:t>
            </w:r>
          </w:p>
        </w:tc>
      </w:tr>
      <w:tr>
        <w:trPr>
          <w:cantSplit/>
        </w:trPr>
        <w:tc>
          <w:tcPr>
            <w:tcW w:w="1418" w:type="dxa"/>
            <w:tcMar>
              <w:top w:w="40" w:type="dxa"/>
              <w:left w:w="80" w:type="dxa"/>
              <w:bottom w:w="40" w:type="dxa"/>
              <w:right w:w="80" w:type="dxa"/>
            </w:tcMar>
          </w:tcPr>
          <w:p>
            <w:pPr>
              <w:keepNext/>
              <w:spacing w:before="0" w:after="0" w:line="240" w:lineRule="auto"/>
              <w:jc w:val="left"/>
            </w:pPr>
            <w:r>
              <w:rPr>
                <w:i/>
                <w:iCs/>
                <w:sz w:val="17"/>
                <w:szCs w:val="17"/>
              </w:rPr>
              <w:t xml:space="preserve">α</w:t>
            </w:r>
            <w:r>
              <w:rPr>
                <w:sz w:val="17"/>
                <w:szCs w:val="17"/>
              </w:rPr>
              <w:t xml:space="preserve">=1.0</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0.270</w:t>
            </w:r>
          </w:p>
        </w:tc>
        <w:tc>
          <w:tcPr>
            <w:tcW w:w="1031" w:type="dxa"/>
            <w:tcMar>
              <w:top w:w="40" w:type="dxa"/>
              <w:left w:w="80" w:type="dxa"/>
              <w:bottom w:w="40" w:type="dxa"/>
              <w:right w:w="80" w:type="dxa"/>
            </w:tcMar>
          </w:tcPr>
          <w:p>
            <w:pPr>
              <w:keepNext/>
              <w:spacing w:before="0" w:after="0" w:line="240" w:lineRule="auto"/>
              <w:jc w:val="right"/>
            </w:pPr>
            <w:r>
              <w:rPr>
                <w:sz w:val="17"/>
                <w:szCs w:val="17"/>
              </w:rPr>
              <w:t xml:space="preserve">0.0124</w:t>
            </w:r>
          </w:p>
        </w:tc>
        <w:tc>
          <w:tcPr>
            <w:tcW w:w="902" w:type="dxa"/>
            <w:tcMar>
              <w:top w:w="40" w:type="dxa"/>
              <w:left w:w="80" w:type="dxa"/>
              <w:bottom w:w="40" w:type="dxa"/>
              <w:right w:w="80" w:type="dxa"/>
            </w:tcMar>
          </w:tcPr>
          <w:p>
            <w:pPr>
              <w:keepNext/>
              <w:spacing w:before="0" w:after="0" w:line="240" w:lineRule="auto"/>
              <w:jc w:val="right"/>
            </w:pPr>
            <w:r>
              <w:rPr>
                <w:sz w:val="17"/>
                <w:szCs w:val="17"/>
              </w:rPr>
              <w:t xml:space="preserve">0.867</w:t>
            </w:r>
          </w:p>
        </w:tc>
        <w:tc>
          <w:tcPr>
            <w:tcW w:w="2063" w:type="dxa"/>
            <w:tcMar>
              <w:top w:w="40" w:type="dxa"/>
              <w:left w:w="80" w:type="dxa"/>
              <w:bottom w:w="40" w:type="dxa"/>
              <w:right w:w="80" w:type="dxa"/>
            </w:tcMar>
          </w:tcPr>
          <w:p>
            <w:pPr>
              <w:keepNext/>
              <w:spacing w:before="0" w:after="0" w:line="240" w:lineRule="auto"/>
              <w:jc w:val="right"/>
            </w:pPr>
            <w:r>
              <w:rPr>
                <w:sz w:val="17"/>
                <w:szCs w:val="17"/>
              </w:rPr>
              <w:t xml:space="preserve">0.0849 </w:t>
            </w:r>
            <w:r>
              <w:rPr>
                <w:sz w:val="17"/>
                <w:szCs w:val="17"/>
              </w:rPr>
              <w:t xml:space="preserve">±</w:t>
            </w:r>
            <w:r>
              <w:rPr>
                <w:sz w:val="17"/>
                <w:szCs w:val="17"/>
              </w:rPr>
              <w:t xml:space="preserve"> 0.0006</w:t>
            </w:r>
          </w:p>
        </w:tc>
        <w:tc>
          <w:tcPr>
            <w:tcW w:w="2710" w:type="dxa"/>
            <w:tcMar>
              <w:top w:w="40" w:type="dxa"/>
              <w:left w:w="80" w:type="dxa"/>
              <w:bottom w:w="40" w:type="dxa"/>
              <w:right w:w="80" w:type="dxa"/>
            </w:tcMar>
          </w:tcPr>
          <w:p>
            <w:pPr>
              <w:keepNext/>
              <w:spacing w:before="0" w:after="0" w:line="240" w:lineRule="auto"/>
              <w:jc w:val="right"/>
            </w:pPr>
            <w:r>
              <w:rPr>
                <w:sz w:val="17"/>
                <w:szCs w:val="17"/>
              </w:rPr>
              <w:t xml:space="preserve">+4.7</w:t>
            </w:r>
          </w:p>
        </w:tc>
      </w:tr>
      <w:tr>
        <w:trPr>
          <w:cantSplit/>
        </w:trPr>
        <w:tc>
          <w:tcPr>
            <w:tcW w:w="1418" w:type="dxa"/>
            <w:tcMar>
              <w:top w:w="40" w:type="dxa"/>
              <w:left w:w="80" w:type="dxa"/>
              <w:bottom w:w="40" w:type="dxa"/>
              <w:right w:w="80" w:type="dxa"/>
            </w:tcMar>
          </w:tcPr>
          <w:p>
            <w:pPr>
              <w:spacing w:before="0" w:after="0" w:line="240" w:lineRule="auto"/>
              <w:jc w:val="left"/>
            </w:pPr>
            <w:r>
              <w:rPr>
                <w:sz w:val="17"/>
                <w:szCs w:val="17"/>
              </w:rPr>
              <w:t xml:space="preserve">cluster</w:t>
            </w:r>
          </w:p>
        </w:tc>
        <w:tc>
          <w:tcPr>
            <w:tcW w:w="902" w:type="dxa"/>
            <w:tcMar>
              <w:top w:w="40" w:type="dxa"/>
              <w:left w:w="80" w:type="dxa"/>
              <w:bottom w:w="40" w:type="dxa"/>
              <w:right w:w="80" w:type="dxa"/>
            </w:tcMar>
          </w:tcPr>
          <w:p>
            <w:pPr>
              <w:spacing w:before="0" w:after="0" w:line="240" w:lineRule="auto"/>
              <w:jc w:val="right"/>
            </w:pPr>
            <w:r>
              <w:rPr>
                <w:sz w:val="17"/>
                <w:szCs w:val="17"/>
              </w:rPr>
              <w:t xml:space="preserve">0.381</w:t>
            </w:r>
          </w:p>
        </w:tc>
        <w:tc>
          <w:tcPr>
            <w:tcW w:w="1031" w:type="dxa"/>
            <w:tcMar>
              <w:top w:w="40" w:type="dxa"/>
              <w:left w:w="80" w:type="dxa"/>
              <w:bottom w:w="40" w:type="dxa"/>
              <w:right w:w="80" w:type="dxa"/>
            </w:tcMar>
          </w:tcPr>
          <w:p>
            <w:pPr>
              <w:spacing w:before="0" w:after="0" w:line="240" w:lineRule="auto"/>
              <w:jc w:val="right"/>
            </w:pPr>
            <w:r>
              <w:rPr>
                <w:sz w:val="17"/>
                <w:szCs w:val="17"/>
              </w:rPr>
              <w:t xml:space="preserve">0.0202</w:t>
            </w:r>
          </w:p>
        </w:tc>
        <w:tc>
          <w:tcPr>
            <w:tcW w:w="902" w:type="dxa"/>
            <w:tcMar>
              <w:top w:w="40" w:type="dxa"/>
              <w:left w:w="80" w:type="dxa"/>
              <w:bottom w:w="40" w:type="dxa"/>
              <w:right w:w="80" w:type="dxa"/>
            </w:tcMar>
          </w:tcPr>
          <w:p>
            <w:pPr>
              <w:spacing w:before="0" w:after="0" w:line="240" w:lineRule="auto"/>
              <w:jc w:val="right"/>
            </w:pPr>
            <w:r>
              <w:rPr>
                <w:sz w:val="17"/>
                <w:szCs w:val="17"/>
              </w:rPr>
              <w:t xml:space="preserve">0.876</w:t>
            </w:r>
          </w:p>
        </w:tc>
        <w:tc>
          <w:tcPr>
            <w:tcW w:w="2063" w:type="dxa"/>
            <w:tcMar>
              <w:top w:w="40" w:type="dxa"/>
              <w:left w:w="80" w:type="dxa"/>
              <w:bottom w:w="40" w:type="dxa"/>
              <w:right w:w="80" w:type="dxa"/>
            </w:tcMar>
          </w:tcPr>
          <w:p>
            <w:pPr>
              <w:spacing w:before="0" w:after="0" w:line="240" w:lineRule="auto"/>
              <w:jc w:val="right"/>
            </w:pPr>
            <w:r>
              <w:rPr>
                <w:sz w:val="17"/>
                <w:szCs w:val="17"/>
              </w:rPr>
              <w:t xml:space="preserve">0.0857 </w:t>
            </w:r>
            <w:r>
              <w:rPr>
                <w:sz w:val="17"/>
                <w:szCs w:val="17"/>
              </w:rPr>
              <w:t xml:space="preserve">±</w:t>
            </w:r>
            <w:r>
              <w:rPr>
                <w:sz w:val="17"/>
                <w:szCs w:val="17"/>
              </w:rPr>
              <w:t xml:space="preserve"> 0.0003</w:t>
            </w:r>
          </w:p>
        </w:tc>
        <w:tc>
          <w:tcPr>
            <w:tcW w:w="2710" w:type="dxa"/>
            <w:tcMar>
              <w:top w:w="40" w:type="dxa"/>
              <w:left w:w="80" w:type="dxa"/>
              <w:bottom w:w="40" w:type="dxa"/>
              <w:right w:w="80" w:type="dxa"/>
            </w:tcMar>
          </w:tcPr>
          <w:p>
            <w:pPr>
              <w:spacing w:before="0" w:after="0" w:line="240" w:lineRule="auto"/>
              <w:jc w:val="right"/>
            </w:pPr>
            <w:r>
              <w:rPr>
                <w:sz w:val="17"/>
                <w:szCs w:val="17"/>
              </w:rPr>
              <w:t xml:space="preserve">+5.7</w:t>
            </w:r>
          </w:p>
        </w:tc>
      </w:tr>
    </w:tbl>
    <w:p>
      <w:pPr>
        <w:spacing w:after="120"/>
      </w:pPr>
    </w:p>
    <w:p>
      <w:pPr>
        <w:keepNext/>
        <w:spacing w:before="0"/>
        <w:jc w:val="center"/>
      </w:pPr>
      <w:r>
        <w:drawing>
          <wp:inline xmlns:a="http://schemas.openxmlformats.org/drawingml/2006/main" xmlns:pic="http://schemas.openxmlformats.org/drawingml/2006/picture">
            <wp:extent cx="5446623" cy="2179086"/>
            <wp:docPr id="3" name="Picture 3"/>
            <wp:cNvGraphicFramePr>
              <a:graphicFrameLocks noChangeAspect="1"/>
            </wp:cNvGraphicFramePr>
            <a:graphic>
              <a:graphicData uri="http://schemas.openxmlformats.org/drawingml/2006/picture">
                <pic:pic>
                  <pic:nvPicPr>
                    <pic:cNvPr id="0" name="heterogeneity_response.png"/>
                    <pic:cNvPicPr/>
                  </pic:nvPicPr>
                  <pic:blipFill>
                    <a:blip r:embed="rId10"/>
                    <a:stretch>
                      <a:fillRect/>
                    </a:stretch>
                  </pic:blipFill>
                  <pic:spPr>
                    <a:xfrm>
                      <a:off x="0" y="0"/>
                      <a:ext cx="5446623" cy="2179086"/>
                    </a:xfrm>
                    <a:prstGeom prst="rect"/>
                  </pic:spPr>
                </pic:pic>
              </a:graphicData>
            </a:graphic>
          </wp:inline>
        </w:drawing>
      </w:r>
    </w:p>
    <w:p>
      <w:pPr>
        <w:spacing w:before="80" w:after="160"/>
        <w:jc w:val="both"/>
      </w:pPr>
      <w:r>
        <w:rPr>
          <w:b/>
          <w:bCs/>
          <w:sz w:val="19"/>
          <w:szCs w:val="19"/>
        </w:rPr>
        <w:t>Figure 3.</w:t>
      </w:r>
      <w:r>
        <w:rPr>
          <w:sz w:val="19"/>
          <w:szCs w:val="19"/>
        </w:rPr>
        <w:t xml:space="preserve"> </w:t>
      </w:r>
      <w:r>
        <w:rPr>
          <w:sz w:val="19"/>
          <w:szCs w:val="19"/>
        </w:rPr>
        <w:t xml:space="preserve">Heterogeneity sweep (</w:t>
      </w:r>
      <m:oMath>
        <m:r>
          <w:rPr>
            <w:rFonts w:ascii="Cambria Math" w:hAnsi="Cambria Math"/>
            <w:sz w:val="19"/>
            <w:szCs w:val="19"/>
          </w:rPr>
          <m:t>K=20</m:t>
        </m:r>
      </m:oMath>
      <w:r>
        <w:rPr>
          <w:sz w:val="19"/>
          <w:szCs w:val="19"/>
        </w:rPr>
        <w:t xml:space="preserve">). (a) Final test MAE (kWh) against the load-shape divergence between clients; dotted: centralised. (b) Megabytes exchanged before validation MAE first came within 10 % of centralised (B@</w:t>
      </w:r>
      <m:oMath>
        <m:r>
          <w:rPr>
            <w:rFonts w:ascii="Cambria Math" w:hAnsi="Cambria Math"/>
            <w:sz w:val="19"/>
            <w:szCs w:val="19"/>
          </w:rPr>
          <m:t>ε</m:t>
        </m:r>
      </m:oMath>
      <w:r>
        <w:rPr>
          <w:sz w:val="19"/>
          <w:szCs w:val="19"/>
        </w:rPr>
        <w:t xml:space="preserve">). Means over three seeds.</w:t>
      </w:r>
    </w:p>
    <w:p>
      <w:pPr>
        <w:pStyle w:val="3"/>
        <w:keepNext/>
        <w:spacing w:before="220" w:after="100"/>
      </w:pPr>
      <w:r>
        <w:rPr>
          <w:b/>
          <w:bCs/>
          <w:color w:val="2F4F7F"/>
          <w:sz w:val="23"/>
          <w:szCs w:val="23"/>
        </w:rPr>
        <w:t xml:space="preserve">4.3 Proximal regularisation and HA-FedProx</w:t>
      </w:r>
    </w:p>
    <w:p>
      <w:pPr>
        <w:spacing w:after="120" w:line="276" w:lineRule="auto"/>
        <w:jc w:val="both"/>
      </w:pPr>
      <w:r>
        <w:rPr>
          <w:sz w:val="22"/>
          <w:szCs w:val="22"/>
        </w:rPr>
        <w:t xml:space="preserve">Validation tuning chose the smallest proximal coefficients in the grids, and with them FedProx was practically indistinguishable from FedAvg (median paired difference -0.0001 kWh at </w:t>
      </w:r>
      <m:oMath>
        <m:r>
          <w:rPr>
            <w:rFonts w:ascii="Cambria Math" w:hAnsi="Cambria Math"/>
            <w:sz w:val="22"/>
            <w:szCs w:val="22"/>
          </w:rPr>
          <m:t>α=0.3</m:t>
        </m:r>
      </m:oMath>
      <w:r>
        <w:rPr>
          <w:sz w:val="22"/>
          <w:szCs w:val="22"/>
        </w:rPr>
        <w:t xml:space="preserve">). HA-FedProx never improved on FedAvg: under the cluster partition it was worse for 73 % of households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Its signal </w:t>
      </w:r>
      <m:oMath>
        <m:sSub>
          <m:e>
            <m:r>
              <w:rPr>
                <w:rFonts w:ascii="Cambria Math" w:hAnsi="Cambria Math"/>
                <w:sz w:val="22"/>
                <w:szCs w:val="22"/>
              </w:rPr>
              <m:t>ρ</m:t>
            </m:r>
          </m:e>
          <m:sub>
            <m:r>
              <w:rPr>
                <w:rFonts w:ascii="Cambria Math" w:hAnsi="Cambria Math"/>
                <w:sz w:val="22"/>
                <w:szCs w:val="22"/>
              </w:rPr>
              <m:t>t</m:t>
            </m:r>
          </m:sub>
        </m:sSub>
      </m:oMath>
      <w:r>
        <w:rPr>
          <w:sz w:val="22"/>
          <w:szCs w:val="22"/>
        </w:rPr>
        <w:t xml:space="preserve"> did rank heterogeneity (Spearman +0.77 with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t>
      </w:r>
      <m:oMath>
        <m:r>
          <w:rPr>
            <w:rFonts w:ascii="Cambria Math" w:hAnsi="Cambria Math"/>
            <w:sz w:val="22"/>
            <w:szCs w:val="22"/>
          </w:rPr>
          <m:t>p</m:t>
        </m:r>
      </m:oMath>
      <w:r>
        <w:rPr>
          <w:sz w:val="22"/>
          <w:szCs w:val="22"/>
        </w:rPr>
        <w:t xml:space="preserve"> 0.0002), but on average it rose from 0.15 in round 1 to 0.96 by the last round; this rise within a typical run (0.81) was about 40 times its spread across partitions (0.020).</w:t>
      </w:r>
    </w:p>
    <w:p>
      <w:pPr>
        <w:pStyle w:val="3"/>
        <w:keepNext/>
        <w:spacing w:before="220" w:after="100"/>
      </w:pPr>
      <w:r>
        <w:rPr>
          <w:b/>
          <w:bCs/>
          <w:color w:val="2F4F7F"/>
          <w:sz w:val="23"/>
          <w:szCs w:val="23"/>
        </w:rPr>
        <w:t xml:space="preserve">4.4 Communication</w:t>
      </w:r>
    </w:p>
    <w:p>
      <w:pPr>
        <w:spacing w:after="120" w:line="276" w:lineRule="auto"/>
        <w:jc w:val="both"/>
      </w:pPr>
      <w:r>
        <w:rPr>
          <w:sz w:val="22"/>
          <w:szCs w:val="22"/>
        </w:rPr>
        <w:t xml:space="preserve">One message was 68.9 kB, so 30 rounds with </w:t>
      </w:r>
      <m:oMath>
        <m:r>
          <w:rPr>
            <w:rFonts w:ascii="Cambria Math" w:hAnsi="Cambria Math"/>
            <w:sz w:val="22"/>
            <w:szCs w:val="22"/>
          </w:rPr>
          <m:t>K=20</m:t>
        </m:r>
      </m:oMath>
      <w:r>
        <w:rPr>
          <w:sz w:val="22"/>
          <w:szCs w:val="22"/>
        </w:rPr>
        <w:t xml:space="preserve"> moved 82.6 MB, about six times the 14.0 MB of raw training readings, and household clients moved 413.2 MB, about 30 times the data (Table 2). The traffic needed for near-centralised accuracy was of the same order as the data volume. Partial participation with stragglers lowered total traffic to 37.4 MB without losing accuracy, and 16-bit updates halved it (41.3 MB) while being marginally better for 92 % of households. Validation error rose briefly in rounds 5–8 in every federated configuration before converging.</w:t>
      </w:r>
    </w:p>
    <w:p>
      <w:pPr>
        <w:pStyle w:val="3"/>
        <w:keepNext/>
        <w:spacing w:before="220" w:after="100"/>
      </w:pPr>
      <w:r>
        <w:rPr>
          <w:b/>
          <w:bCs/>
          <w:color w:val="2F4F7F"/>
          <w:sz w:val="23"/>
          <w:szCs w:val="23"/>
        </w:rPr>
        <w:t xml:space="preserve">4.5 Who gains from federation?</w:t>
      </w:r>
    </w:p>
    <w:p>
      <w:pPr>
        <w:spacing w:after="120" w:line="276" w:lineRule="auto"/>
        <w:jc w:val="both"/>
      </w:pPr>
      <w:r>
        <w:rPr>
          <w:sz w:val="22"/>
          <w:szCs w:val="22"/>
        </w:rPr>
        <w:t xml:space="preserve">Table 4 and Fig. 4 give the per-household view. FedAvg left 56–66 % of households worse off than local training at </w:t>
      </w:r>
      <m:oMath>
        <m:r>
          <w:rPr>
            <w:rFonts w:ascii="Cambria Math" w:hAnsi="Cambria Math"/>
            <w:sz w:val="22"/>
            <w:szCs w:val="22"/>
          </w:rPr>
          <m:t>K=20</m:t>
        </m:r>
      </m:oMath>
      <w:r>
        <w:rPr>
          <w:sz w:val="22"/>
          <w:szCs w:val="22"/>
        </w:rPr>
        <w:t xml:space="preserve">, and 82 % with one home per client. One epoch of fine-tuning reduced this to 46–48 %, after which FedAvg at </w:t>
      </w:r>
      <m:oMath>
        <m:r>
          <w:rPr>
            <w:rFonts w:ascii="Cambria Math" w:hAnsi="Cambria Math"/>
            <w:sz w:val="22"/>
            <w:szCs w:val="22"/>
          </w:rPr>
          <m:t>α=0.3</m:t>
        </m:r>
      </m:oMath>
      <w:r>
        <w:rPr>
          <w:sz w:val="22"/>
          <w:szCs w:val="22"/>
        </w:rPr>
        <w:t xml:space="preserve"> was statistically tied with local training (52 % of homes better,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0.4960); with one home per client it remained behind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0.0854). The benefit of pooling was concentrated in the highest-consuming homes, which FedAvg served worst.</w:t>
      </w:r>
    </w:p>
    <w:p>
      <w:pPr>
        <w:keepNext/>
        <w:spacing w:before="80" w:after="160"/>
        <w:jc w:val="both"/>
      </w:pPr>
      <w:r>
        <w:rPr>
          <w:b/>
          <w:bCs/>
          <w:sz w:val="19"/>
          <w:szCs w:val="19"/>
        </w:rPr>
        <w:t>Table 4.</w:t>
      </w:r>
      <w:r>
        <w:rPr>
          <w:sz w:val="19"/>
          <w:szCs w:val="19"/>
        </w:rPr>
        <w:t xml:space="preserve"> </w:t>
      </w:r>
      <w:r>
        <w:rPr>
          <w:sz w:val="19"/>
          <w:szCs w:val="19"/>
        </w:rPr>
        <w:t xml:space="preserve">Equity of federation relative to local-only training: share of households harmed, median benefit, 90th-percentile household MAE (kWh) and share harmed after local fine-tuning (FT).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24"/>
        <w:gridCol w:w="2112"/>
        <w:gridCol w:w="2112"/>
        <w:gridCol w:w="864"/>
        <w:gridCol w:w="2114"/>
      </w:tblGrid>
      <w:tr>
        <w:trPr>
          <w:tblHeader/>
          <w:cantSplit/>
        </w:trPr>
        <w:tc>
          <w:tcPr>
            <w:tcW w:w="1824"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Arm</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vs local (%)</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Median benefit (kWh)</w:t>
            </w:r>
          </w:p>
        </w:tc>
        <w:tc>
          <w:tcPr>
            <w:tcW w:w="86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P90 MAE</w:t>
            </w:r>
          </w:p>
        </w:tc>
        <w:tc>
          <w:tcPr>
            <w:tcW w:w="211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after FT (%)</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28</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+0.0016</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0.1364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56</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-0.0005</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0.1439</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46</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66</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-0.0013</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0.1445</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48</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61</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-0.0008</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0.1428</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46</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66</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-0.0013</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0.1454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55</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82</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-0.0027</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0.1514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61</w:t>
            </w:r>
          </w:p>
        </w:tc>
      </w:tr>
      <w:tr>
        <w:trPr>
          <w:cantSplit/>
        </w:trPr>
        <w:tc>
          <w:tcPr>
            <w:tcW w:w="1824" w:type="dxa"/>
            <w:tcMar>
              <w:top w:w="40" w:type="dxa"/>
              <w:left w:w="80" w:type="dxa"/>
              <w:bottom w:w="40" w:type="dxa"/>
              <w:right w:w="80" w:type="dxa"/>
            </w:tcMar>
          </w:tcPr>
          <w:p>
            <w:pPr>
              <w:spacing w:before="0" w:after="0" w:line="240" w:lineRule="auto"/>
              <w:jc w:val="left"/>
            </w:pPr>
            <w:r>
              <w:rPr>
                <w:sz w:val="17"/>
                <w:szCs w:val="17"/>
              </w:rPr>
              <w:t xml:space="preserve">HA-FedProx, K=100</w:t>
            </w:r>
          </w:p>
        </w:tc>
        <w:tc>
          <w:tcPr>
            <w:tcW w:w="2112" w:type="dxa"/>
            <w:tcMar>
              <w:top w:w="40" w:type="dxa"/>
              <w:left w:w="80" w:type="dxa"/>
              <w:bottom w:w="40" w:type="dxa"/>
              <w:right w:w="80" w:type="dxa"/>
            </w:tcMar>
          </w:tcPr>
          <w:p>
            <w:pPr>
              <w:spacing w:before="0" w:after="0" w:line="240" w:lineRule="auto"/>
              <w:jc w:val="right"/>
            </w:pPr>
            <w:r>
              <w:rPr>
                <w:sz w:val="17"/>
                <w:szCs w:val="17"/>
              </w:rPr>
              <w:t xml:space="preserve">85</w:t>
            </w:r>
          </w:p>
        </w:tc>
        <w:tc>
          <w:tcPr>
            <w:tcW w:w="2112" w:type="dxa"/>
            <w:tcMar>
              <w:top w:w="40" w:type="dxa"/>
              <w:left w:w="80" w:type="dxa"/>
              <w:bottom w:w="40" w:type="dxa"/>
              <w:right w:w="80" w:type="dxa"/>
            </w:tcMar>
          </w:tcPr>
          <w:p>
            <w:pPr>
              <w:spacing w:before="0" w:after="0" w:line="240" w:lineRule="auto"/>
              <w:jc w:val="right"/>
            </w:pPr>
            <w:r>
              <w:rPr>
                <w:sz w:val="17"/>
                <w:szCs w:val="17"/>
              </w:rPr>
              <w:t xml:space="preserve">-0.0028</w:t>
            </w:r>
          </w:p>
        </w:tc>
        <w:tc>
          <w:tcPr>
            <w:tcW w:w="864" w:type="dxa"/>
            <w:tcMar>
              <w:top w:w="40" w:type="dxa"/>
              <w:left w:w="80" w:type="dxa"/>
              <w:bottom w:w="40" w:type="dxa"/>
              <w:right w:w="80" w:type="dxa"/>
            </w:tcMar>
          </w:tcPr>
          <w:p>
            <w:pPr>
              <w:spacing w:before="0" w:after="0" w:line="240" w:lineRule="auto"/>
              <w:jc w:val="right"/>
            </w:pPr>
            <w:r>
              <w:rPr>
                <w:sz w:val="17"/>
                <w:szCs w:val="17"/>
              </w:rPr>
              <w:t xml:space="preserve">0.1515</w:t>
            </w:r>
          </w:p>
        </w:tc>
        <w:tc>
          <w:tcPr>
            <w:tcW w:w="2114" w:type="dxa"/>
            <w:tcMar>
              <w:top w:w="40" w:type="dxa"/>
              <w:left w:w="80" w:type="dxa"/>
              <w:bottom w:w="40" w:type="dxa"/>
              <w:right w:w="80" w:type="dxa"/>
            </w:tcMar>
          </w:tcPr>
          <w:p>
            <w:pPr>
              <w:spacing w:before="0" w:after="0" w:line="240" w:lineRule="auto"/>
              <w:jc w:val="right"/>
            </w:pPr>
            <w:r>
              <w:rPr>
                <w:sz w:val="17"/>
                <w:szCs w:val="17"/>
              </w:rPr>
              <w:t xml:space="preserve">67</w:t>
            </w:r>
          </w:p>
        </w:tc>
      </w:tr>
    </w:tbl>
    <w:p>
      <w:pPr>
        <w:spacing w:after="120"/>
      </w:pPr>
    </w:p>
    <w:p>
      <w:pPr>
        <w:keepNext/>
        <w:spacing w:before="0"/>
        <w:jc w:val="center"/>
      </w:pPr>
      <w:r>
        <w:drawing>
          <wp:inline xmlns:a="http://schemas.openxmlformats.org/drawingml/2006/main" xmlns:pic="http://schemas.openxmlformats.org/drawingml/2006/picture">
            <wp:extent cx="3554638" cy="1941364"/>
            <wp:docPr id="4" name="Picture 4"/>
            <wp:cNvGraphicFramePr>
              <a:graphicFrameLocks noChangeAspect="1"/>
            </wp:cNvGraphicFramePr>
            <a:graphic>
              <a:graphicData uri="http://schemas.openxmlformats.org/drawingml/2006/picture">
                <pic:pic>
                  <pic:nvPicPr>
                    <pic:cNvPr id="0" name="federation_benefit_cdf.png"/>
                    <pic:cNvPicPr/>
                  </pic:nvPicPr>
                  <pic:blipFill>
                    <a:blip r:embed="rId11"/>
                    <a:stretch>
                      <a:fillRect/>
                    </a:stretch>
                  </pic:blipFill>
                  <pic:spPr>
                    <a:xfrm>
                      <a:off x="0" y="0"/>
                      <a:ext cx="3554638" cy="1941364"/>
                    </a:xfrm>
                    <a:prstGeom prst="rect"/>
                  </pic:spPr>
                </pic:pic>
              </a:graphicData>
            </a:graphic>
          </wp:inline>
        </w:drawing>
      </w:r>
    </w:p>
    <w:p>
      <w:pPr>
        <w:spacing w:before="80" w:after="160"/>
        <w:jc w:val="both"/>
      </w:pPr>
      <w:r>
        <w:rPr>
          <w:b/>
          <w:bCs/>
          <w:sz w:val="19"/>
          <w:szCs w:val="19"/>
        </w:rPr>
        <w:t>Figure 4.</w:t>
      </w:r>
      <w:r>
        <w:rPr>
          <w:sz w:val="19"/>
          <w:szCs w:val="19"/>
        </w:rPr>
        <w:t xml:space="preserve"> </w:t>
      </w:r>
      <w:r>
        <w:rPr>
          <w:sz w:val="19"/>
          <w:szCs w:val="19"/>
        </w:rPr>
        <w:t xml:space="preserve">Distribution over households of the benefit of each collaborative arm over local training (</w:t>
      </w:r>
      <m:oMath>
        <m:sSub>
          <m:e>
            <m:r>
              <m:rPr>
                <m:sty m:val="p"/>
              </m:rPr>
              <w:rPr>
                <w:rFonts w:ascii="Cambria Math" w:hAnsi="Cambria Math"/>
                <w:sz w:val="19"/>
                <w:szCs w:val="19"/>
              </w:rPr>
              <m:t>MAE</m:t>
            </m:r>
          </m:e>
          <m:sub>
            <m:r>
              <m:rPr>
                <m:sty m:val="p"/>
              </m:rPr>
              <w:rPr>
                <w:rFonts w:ascii="Cambria Math" w:hAnsi="Cambria Math"/>
                <w:sz w:val="19"/>
                <w:szCs w:val="19"/>
              </w:rPr>
              <m:t>local</m:t>
            </m:r>
          </m:sub>
        </m:sSub>
        <m:r>
          <w:rPr>
            <w:rFonts w:ascii="Cambria Math" w:hAnsi="Cambria Math"/>
            <w:sz w:val="19"/>
            <w:szCs w:val="19"/>
          </w:rPr>
          <m:t>−</m:t>
        </m:r>
        <m:sSub>
          <m:e>
            <m:r>
              <m:rPr>
                <m:sty m:val="p"/>
              </m:rPr>
              <w:rPr>
                <w:rFonts w:ascii="Cambria Math" w:hAnsi="Cambria Math"/>
                <w:sz w:val="19"/>
                <w:szCs w:val="19"/>
              </w:rPr>
              <m:t>MAE</m:t>
            </m:r>
          </m:e>
          <m:sub>
            <m:r>
              <m:rPr>
                <m:sty m:val="p"/>
              </m:rPr>
              <w:rPr>
                <w:rFonts w:ascii="Cambria Math" w:hAnsi="Cambria Math"/>
                <w:sz w:val="19"/>
                <w:szCs w:val="19"/>
              </w:rPr>
              <m:t>arm</m:t>
            </m:r>
          </m:sub>
        </m:sSub>
      </m:oMath>
      <w:r>
        <w:rPr>
          <w:sz w:val="19"/>
          <w:szCs w:val="19"/>
        </w:rPr>
        <w:t xml:space="preserve">, kWh; left of zero means worse off).</w:t>
      </w:r>
    </w:p>
    <w:p>
      <w:pPr>
        <w:pStyle w:val="2"/>
        <w:keepNext/>
        <w:spacing w:before="320" w:after="120"/>
      </w:pPr>
      <w:r>
        <w:rPr>
          <w:b/>
          <w:bCs/>
          <w:color w:val="1F3864"/>
          <w:sz w:val="26"/>
          <w:szCs w:val="26"/>
        </w:rPr>
        <w:t xml:space="preserve">5. Discussion</w:t>
      </w:r>
    </w:p>
    <w:p>
      <w:pPr>
        <w:spacing w:after="120" w:line="276" w:lineRule="auto"/>
        <w:jc w:val="both"/>
      </w:pPr>
      <w:r>
        <w:rPr>
          <w:sz w:val="22"/>
          <w:szCs w:val="22"/>
        </w:rPr>
        <w:t xml:space="preserve">The accuracy cost of federation in this setting came from fragmentation, not heterogeneity. The federated protocol itself cost nothing, and the gap grew with the number of clients whether or not they differed. The likely mechanism is averaging: with one local epoch per round, smaller clients take fewer and noisier optimiser steps before being averaged, so the average of </w:t>
      </w:r>
      <m:oMath>
        <m:r>
          <w:rPr>
            <w:rFonts w:ascii="Cambria Math" w:hAnsi="Cambria Math"/>
            <w:sz w:val="22"/>
            <w:szCs w:val="22"/>
          </w:rPr>
          <m:t>K</m:t>
        </m:r>
      </m:oMath>
      <w:r>
        <w:rPr>
          <w:sz w:val="22"/>
          <w:szCs w:val="22"/>
        </w:rPr>
        <w:t xml:space="preserve"> models drifts further from what one pass over the pooled data would produce, even though total data and computation are unchanged. Heterogeneity changed how fast the federation approached centralised accuracy, not where it ended, provided the best round was chosen on validation data. This explains why drift-oriented remedies helped little, and why HA-FedProx failed: as the shared descent direction shrinks during training, any residual disagreement pushes </w:t>
      </w:r>
      <m:oMath>
        <m:sSub>
          <m:e>
            <m:r>
              <w:rPr>
                <w:rFonts w:ascii="Cambria Math" w:hAnsi="Cambria Math"/>
                <w:sz w:val="22"/>
                <w:szCs w:val="22"/>
              </w:rPr>
              <m:t>ρ</m:t>
            </m:r>
          </m:e>
          <m:sub>
            <m:r>
              <w:rPr>
                <w:rFonts w:ascii="Cambria Math" w:hAnsi="Cambria Math"/>
                <w:sz w:val="22"/>
                <w:szCs w:val="22"/>
              </w:rPr>
              <m:t>t</m:t>
            </m:r>
          </m:sub>
        </m:sSub>
      </m:oMath>
      <w:r>
        <w:rPr>
          <w:sz w:val="22"/>
          <w:szCs w:val="22"/>
        </w:rPr>
        <w:t xml:space="preserve"> towards one, so a schedule proportional to it raises the proximal pull late in training whatever the data.</w:t>
      </w:r>
    </w:p>
    <w:p>
      <w:pPr>
        <w:spacing w:after="120" w:line="276" w:lineRule="auto"/>
        <w:jc w:val="both"/>
      </w:pPr>
      <w:r>
        <w:rPr>
          <w:sz w:val="22"/>
          <w:szCs w:val="22"/>
        </w:rPr>
        <w:t xml:space="preserve">The results agree with Briggs et al. [19] that plain FedAvg can lose to local models on LCL, but only on MAE; on RMSE the shared model was better. Their finding that fine-tuning reverses the comparison held at community scale but not with one home per client. The measured traffic supports the argument of Briggs et al. [17] rather than the analytic savings of Taïk and Cherkaoui [15], who compared a 1.9 kb model with 16 Mb of data; the sign depends on model size, resolution and number of rounds. Like HAPI-FedProx [27], the adaptive rule did not beat a well-tuned baseline.</w:t>
      </w:r>
    </w:p>
    <w:p>
      <w:pPr>
        <w:spacing w:after="120" w:line="276" w:lineRule="auto"/>
        <w:jc w:val="both"/>
      </w:pPr>
      <w:r>
        <w:rPr>
          <w:sz w:val="22"/>
          <w:szCs w:val="22"/>
        </w:rPr>
        <w:t xml:space="preserve">In practice, the number of clients was the most consequential choice. Federating five aggregated clients cost 2.0 % in MAE with 20.7 MB of traffic, while meter-level federation cost 10.3 % and about 30 times the raw data. Since one household's eight months of readings occupy about 140 kB, roughly two messages of this small LSTM, federation at this scale is a governance choice based on data minimisation and consent, not a bandwidth saving. Operators and aggregators should federate few, aggregated clients, fine-tune locally, select the round on validation error, and check errors per consumption tier.</w:t>
      </w:r>
    </w:p>
    <w:p>
      <w:pPr>
        <w:spacing w:after="120" w:line="276" w:lineRule="auto"/>
        <w:jc w:val="both"/>
      </w:pPr>
      <w:r>
        <w:rPr>
          <w:sz w:val="22"/>
          <w:szCs w:val="22"/>
        </w:rPr>
        <w:t xml:space="preserve">The study covers one dataset, one year, one 30-minute horizon and a small LSTM; larger models would raise per-message traffic, strengthening the communication finding but possibly changing the accuracy results. The network was simulated, traffic counts payload only, and data locality is not a formal privacy guarantee [21], [22]: neither differential privacy nor secure aggregation was applied. Hyper-parameters other than the proximal coefficients were fixed for all arms.</w:t>
      </w:r>
    </w:p>
    <w:p>
      <w:pPr>
        <w:pStyle w:val="2"/>
        <w:keepNext/>
        <w:spacing w:before="320" w:after="120"/>
      </w:pPr>
      <w:r>
        <w:rPr>
          <w:b/>
          <w:bCs/>
          <w:color w:val="1F3864"/>
          <w:sz w:val="26"/>
          <w:szCs w:val="26"/>
        </w:rPr>
        <w:t xml:space="preserve">6. Conclusion</w:t>
      </w:r>
    </w:p>
    <w:p>
      <w:pPr>
        <w:spacing w:after="120" w:line="276" w:lineRule="auto"/>
        <w:jc w:val="both"/>
      </w:pPr>
      <w:r>
        <w:rPr>
          <w:sz w:val="22"/>
          <w:szCs w:val="22"/>
        </w:rPr>
        <w:t xml:space="preserve">This study held the households, test set, model and training budget fixed and changed one factor at a time to find where the costs of federated household load forecasting come from, using 100 Low Carbon London homes. The federated protocol on a single client matched centralised accuracy, and the error grew with the number of clients the same homes were spread over, to 10.3 % when every home was its own client. Regrouping homes from random to fully profile-clustered barely changed final accuracy but raised the traffic needed to approach centralised accuracy by about 85 %, and federated training moved more bytes than the readings it kept local. Local fine-tuning removed most of the harm to individual households at community scale; proximal regularisation, fixed or adaptive, brought no benefit. The work shows that the federated accuracy gap is a fragmentation cost, that heterogeneity is mainly a communication cost, and that the case for federation in residential forecasting rests on governance rather than bandwidth. Future work will test these conclusions on other datasets, climates, horizons and larger models, add differential privacy and secure aggregation, and design heterogeneity signals that do not depend on the stage of training.</w:t>
      </w:r>
    </w:p>
    <w:p>
      <w:pPr>
        <w:pStyle w:val="2"/>
        <w:keepNext/>
        <w:spacing w:before="320" w:after="120"/>
      </w:pPr>
      <w:r>
        <w:rPr>
          <w:b/>
          <w:bCs/>
          <w:color w:val="1F3864"/>
          <w:sz w:val="26"/>
          <w:szCs w:val="26"/>
        </w:rPr>
        <w:t xml:space="preserve">Declarations</w:t>
      </w:r>
    </w:p>
    <w:p>
      <w:pPr>
        <w:spacing w:after="80" w:line="276" w:lineRule="auto"/>
        <w:jc w:val="left"/>
      </w:pPr>
      <w:r>
        <w:rPr>
          <w:b/>
          <w:bCs/>
          <w:sz w:val="22"/>
          <w:szCs w:val="22"/>
        </w:rPr>
        <w:t xml:space="preserve">Acknowledgements. </w:t>
      </w:r>
      <w:r>
        <w:rPr>
          <w:sz w:val="22"/>
          <w:szCs w:val="22"/>
        </w:rPr>
        <w:t xml:space="preserve">The authors thank UK Power Networks for making the Low Carbon London trial data publicly available.</w:t>
      </w:r>
    </w:p>
    <w:p>
      <w:pPr>
        <w:spacing w:after="80" w:line="276" w:lineRule="auto"/>
        <w:jc w:val="left"/>
      </w:pPr>
      <w:r>
        <w:rPr>
          <w:b/>
          <w:bCs/>
          <w:sz w:val="22"/>
          <w:szCs w:val="22"/>
        </w:rPr>
        <w:t xml:space="preserve">Funding. </w:t>
      </w:r>
      <w:r>
        <w:rPr>
          <w:sz w:val="22"/>
          <w:szCs w:val="22"/>
        </w:rPr>
        <w:t xml:space="preserve">This research received no specific grant from any funding agency in the public, commercial or not-for-profit sectors.</w:t>
      </w:r>
    </w:p>
    <w:p>
      <w:pPr>
        <w:spacing w:after="80" w:line="276" w:lineRule="auto"/>
        <w:jc w:val="left"/>
      </w:pPr>
      <w:r>
        <w:rPr>
          <w:b/>
          <w:bCs/>
          <w:sz w:val="22"/>
          <w:szCs w:val="22"/>
        </w:rPr>
        <w:t xml:space="preserve">Conflict of interest. </w:t>
      </w:r>
      <w:r>
        <w:rPr>
          <w:sz w:val="22"/>
          <w:szCs w:val="22"/>
        </w:rPr>
        <w:t xml:space="preserve">The authors declare no conflict of interest.</w:t>
      </w:r>
    </w:p>
    <w:p>
      <w:pPr>
        <w:spacing w:after="80" w:line="276" w:lineRule="auto"/>
        <w:jc w:val="left"/>
      </w:pPr>
      <w:r>
        <w:rPr>
          <w:b/>
          <w:bCs/>
          <w:sz w:val="22"/>
          <w:szCs w:val="22"/>
        </w:rPr>
        <w:t xml:space="preserve">Data availability. </w:t>
      </w:r>
      <w:r>
        <w:rPr>
          <w:sz w:val="22"/>
          <w:szCs w:val="22"/>
        </w:rPr>
        <w:t xml:space="preserve">The Low Carbon London data are publicly available from the London Datastore (https://data.london.gov.uk/dataset/smartmeter-energy-consumption-data-in-london-households-vqm0d). All code, configuration files, per-run results and the scripts that generate every table and figure are available at [repository URL to be inserted; provided to reviewers as a supplementary archive].</w:t>
      </w:r>
    </w:p>
    <w:p>
      <w:pPr>
        <w:spacing w:after="80" w:line="276" w:lineRule="auto"/>
        <w:jc w:val="left"/>
      </w:pPr>
      <w:r>
        <w:rPr>
          <w:b/>
          <w:bCs/>
          <w:sz w:val="22"/>
          <w:szCs w:val="22"/>
        </w:rPr>
        <w:t xml:space="preserve">Author contributions. </w:t>
      </w:r>
      <w:r>
        <w:rPr>
          <w:sz w:val="22"/>
          <w:szCs w:val="22"/>
        </w:rPr>
        <w:t xml:space="preserve">Pushkal Gupta: conceptualisation, methodology, software, data curation, investigation, formal analysis, visualisation, writing – original draft. Vanka Kaushik: conceptualisation, investigation, validation, writing – review and editing. Kalaavathi B: supervision, methodology, writing – review and editing.</w:t>
      </w:r>
    </w:p>
    <w:p>
      <w:pPr>
        <w:spacing w:after="80" w:line="276" w:lineRule="auto"/>
        <w:jc w:val="left"/>
      </w:pPr>
      <w:r>
        <w:rPr>
          <w:b/>
          <w:bCs/>
          <w:sz w:val="22"/>
          <w:szCs w:val="22"/>
        </w:rPr>
        <w:t xml:space="preserve">Declaration of generative AI use. </w:t>
      </w:r>
      <w:r>
        <w:rPr>
          <w:sz w:val="22"/>
          <w:szCs w:val="22"/>
        </w:rPr>
        <w:t xml:space="preserve">During the preparation of this work the authors used Claude (Anthropic), an AI assistant, to help write and test the software pipeline and to draft and edit the text of the manuscript. After using this tool, the authors reviewed and edited the code, the results and the content as needed and take full responsibility for the content of the publication.</w:t>
      </w:r>
    </w:p>
    <w:p>
      <w:pPr>
        <w:pStyle w:val="2"/>
        <w:keepNext/>
        <w:spacing w:before="320" w:after="120"/>
      </w:pPr>
      <w:r>
        <w:rPr>
          <w:b/>
          <w:bCs/>
          <w:color w:val="1F3864"/>
          <w:sz w:val="26"/>
          <w:szCs w:val="26"/>
        </w:rPr>
        <w:t xml:space="preserve">References</w:t>
      </w:r>
    </w:p>
    <w:p>
      <w:pPr>
        <w:spacing w:after="80"/>
        <w:ind w:left="500" w:hanging="500"/>
        <w:jc w:val="left"/>
      </w:pPr>
      <w:r>
        <w:rPr>
          <w:sz w:val="20"/>
          <w:szCs w:val="20"/>
        </w:rPr>
        <w:t>[1]</w:t>
      </w:r>
      <w:r>
        <w:rPr>
          <w:sz w:val="20"/>
          <w:szCs w:val="20"/>
        </w:rPr>
        <w:tab/>
      </w:r>
      <w:r>
        <w:rPr>
          <w:sz w:val="20"/>
          <w:szCs w:val="20"/>
        </w:rPr>
        <w:t xml:space="preserve">Hochreiter, S., Schmidhuber, J. (1997). Long short-term memory. Neural Computation, 9(8): 1735-1780. https://doi.org/10.1162/neco.1997.9.8.1735</w:t>
      </w:r>
    </w:p>
    <w:p>
      <w:pPr>
        <w:spacing w:after="80"/>
        <w:ind w:left="500" w:hanging="500"/>
        <w:jc w:val="left"/>
      </w:pPr>
      <w:r>
        <w:rPr>
          <w:sz w:val="20"/>
          <w:szCs w:val="20"/>
        </w:rPr>
        <w:t>[2]</w:t>
      </w:r>
      <w:r>
        <w:rPr>
          <w:sz w:val="20"/>
          <w:szCs w:val="20"/>
        </w:rPr>
        <w:tab/>
      </w:r>
      <w:r>
        <w:rPr>
          <w:sz w:val="20"/>
          <w:szCs w:val="20"/>
        </w:rPr>
        <w:t xml:space="preserve">Kong, W., Dong, Z.Y., Jia, Y., Hill, D.J., Xu, Y., Zhang, Y. (2019). Short-term residential load forecasting based on LSTM recurrent neural network. IEEE Transactions on Smart Grid, 10(1): 841-851. https://doi.org/10.1109/TSG.2017.2753802</w:t>
      </w:r>
    </w:p>
    <w:p>
      <w:pPr>
        <w:spacing w:after="80"/>
        <w:ind w:left="500" w:hanging="500"/>
        <w:jc w:val="left"/>
      </w:pPr>
      <w:r>
        <w:rPr>
          <w:sz w:val="20"/>
          <w:szCs w:val="20"/>
        </w:rPr>
        <w:t>[3]</w:t>
      </w:r>
      <w:r>
        <w:rPr>
          <w:sz w:val="20"/>
          <w:szCs w:val="20"/>
        </w:rPr>
        <w:tab/>
      </w:r>
      <w:r>
        <w:rPr>
          <w:sz w:val="20"/>
          <w:szCs w:val="20"/>
        </w:rPr>
        <w:t xml:space="preserve">Shi, H., Xu, M., Li, R. (2018). Deep learning for household load forecasting—A novel pooling deep RNN. IEEE Transactions on Smart Grid, 9(5): 5271-5280. https://doi.org/10.1109/TSG.2017.2686012</w:t>
      </w:r>
    </w:p>
    <w:p>
      <w:pPr>
        <w:spacing w:after="80"/>
        <w:ind w:left="500" w:hanging="500"/>
        <w:jc w:val="left"/>
      </w:pPr>
      <w:r>
        <w:rPr>
          <w:sz w:val="20"/>
          <w:szCs w:val="20"/>
        </w:rPr>
        <w:t>[4]</w:t>
      </w:r>
      <w:r>
        <w:rPr>
          <w:sz w:val="20"/>
          <w:szCs w:val="20"/>
        </w:rPr>
        <w:tab/>
      </w:r>
      <w:r>
        <w:rPr>
          <w:sz w:val="20"/>
          <w:szCs w:val="20"/>
        </w:rPr>
        <w:t xml:space="preserve">McMahan, B., Moore, E., Ramage, D., Hampson, S., Agüera y Arcas, B. (2017). Communication-efficient learning of deep networks from decentralized data. In Proceedings of the 20th International Conference on Artificial Intelligence and Statistics (AISTATS), vol. 54, pp. 1273-1282. https://proceedings.mlr.press/v54/mcmahan17a.html</w:t>
      </w:r>
    </w:p>
    <w:p>
      <w:pPr>
        <w:spacing w:after="80"/>
        <w:ind w:left="500" w:hanging="500"/>
        <w:jc w:val="left"/>
      </w:pPr>
      <w:r>
        <w:rPr>
          <w:sz w:val="20"/>
          <w:szCs w:val="20"/>
        </w:rPr>
        <w:t>[5]</w:t>
      </w:r>
      <w:r>
        <w:rPr>
          <w:sz w:val="20"/>
          <w:szCs w:val="20"/>
        </w:rPr>
        <w:tab/>
      </w:r>
      <w:r>
        <w:rPr>
          <w:sz w:val="20"/>
          <w:szCs w:val="20"/>
        </w:rPr>
        <w:t xml:space="preserve">Kairouz, P., McMahan, H.B., et al. (2021). Advances and open problems in federated learning. Foundations and Trends in Machine Learning, 14(1–2): 1-210. https://doi.org/10.1561/2200000083</w:t>
      </w:r>
    </w:p>
    <w:p>
      <w:pPr>
        <w:spacing w:after="80"/>
        <w:ind w:left="500" w:hanging="500"/>
        <w:jc w:val="left"/>
      </w:pPr>
      <w:r>
        <w:rPr>
          <w:sz w:val="20"/>
          <w:szCs w:val="20"/>
        </w:rPr>
        <w:t>[6]</w:t>
      </w:r>
      <w:r>
        <w:rPr>
          <w:sz w:val="20"/>
          <w:szCs w:val="20"/>
        </w:rPr>
        <w:tab/>
      </w:r>
      <w:r>
        <w:rPr>
          <w:sz w:val="20"/>
          <w:szCs w:val="20"/>
        </w:rPr>
        <w:t xml:space="preserve">Fernández, J.D., Menci, S.P., Lee, C.M., Rieger, A., Fridgen, G. (2022). Privacy-preserving federated learning for residential short-term load forecasting. Applied Energy, 326: 119915. https://doi.org/10.1016/j.apenergy.2022.119915</w:t>
      </w:r>
    </w:p>
    <w:p>
      <w:pPr>
        <w:spacing w:after="80"/>
        <w:ind w:left="500" w:hanging="500"/>
        <w:jc w:val="left"/>
      </w:pPr>
      <w:r>
        <w:rPr>
          <w:sz w:val="20"/>
          <w:szCs w:val="20"/>
        </w:rPr>
        <w:t>[7]</w:t>
      </w:r>
      <w:r>
        <w:rPr>
          <w:sz w:val="20"/>
          <w:szCs w:val="20"/>
        </w:rPr>
        <w:tab/>
      </w:r>
      <w:r>
        <w:rPr>
          <w:sz w:val="20"/>
          <w:szCs w:val="20"/>
        </w:rPr>
        <w:t xml:space="preserve">Fekri, M.N., Grolinger, K., Mir, S. (2022). Distributed load forecasting using smart meter data: Federated learning with recurrent neural networks. International Journal of Electrical Power &amp; Energy Systems, 137: 107669. https://doi.org/10.1016/j.ijepes.2021.107669</w:t>
      </w:r>
    </w:p>
    <w:p>
      <w:pPr>
        <w:spacing w:after="80"/>
        <w:ind w:left="500" w:hanging="500"/>
        <w:jc w:val="left"/>
      </w:pPr>
      <w:r>
        <w:rPr>
          <w:sz w:val="20"/>
          <w:szCs w:val="20"/>
        </w:rPr>
        <w:t>[8]</w:t>
      </w:r>
      <w:r>
        <w:rPr>
          <w:sz w:val="20"/>
          <w:szCs w:val="20"/>
        </w:rPr>
        <w:tab/>
      </w:r>
      <w:r>
        <w:rPr>
          <w:sz w:val="20"/>
          <w:szCs w:val="20"/>
        </w:rPr>
        <w:t xml:space="preserve">Gholizadeh, N., Musilek, P. (2022). Federated learning with hyperparameter-based clustering for electrical load forecasting. Internet of Things, 17: 100470. https://doi.org/10.1016/j.iot.2021.100470</w:t>
      </w:r>
    </w:p>
    <w:p>
      <w:pPr>
        <w:spacing w:after="80"/>
        <w:ind w:left="500" w:hanging="500"/>
        <w:jc w:val="left"/>
      </w:pPr>
      <w:r>
        <w:rPr>
          <w:sz w:val="20"/>
          <w:szCs w:val="20"/>
        </w:rPr>
        <w:t>[9]</w:t>
      </w:r>
      <w:r>
        <w:rPr>
          <w:sz w:val="20"/>
          <w:szCs w:val="20"/>
        </w:rPr>
        <w:tab/>
      </w:r>
      <w:r>
        <w:rPr>
          <w:sz w:val="20"/>
          <w:szCs w:val="20"/>
        </w:rPr>
        <w:t xml:space="preserve">Widmer, F., Nowak, S., Bowler, B., Huber, P., Papaemmanouil, A. (2023). Data-driven comparison of federated learning and model personalization for electric load forecasting. Energy and AI, 14: 100253. https://doi.org/10.1016/j.egyai.2023.100253</w:t>
      </w:r>
    </w:p>
    <w:p>
      <w:pPr>
        <w:spacing w:after="80"/>
        <w:ind w:left="500" w:hanging="500"/>
        <w:jc w:val="left"/>
      </w:pPr>
      <w:r>
        <w:rPr>
          <w:sz w:val="20"/>
          <w:szCs w:val="20"/>
        </w:rPr>
        <w:t>[10]</w:t>
      </w:r>
      <w:r>
        <w:rPr>
          <w:sz w:val="20"/>
          <w:szCs w:val="20"/>
        </w:rPr>
        <w:tab/>
      </w:r>
      <w:r>
        <w:rPr>
          <w:sz w:val="20"/>
          <w:szCs w:val="20"/>
        </w:rPr>
        <w:t xml:space="preserve">Qu, X., Guan, C., Xie, G., Tian, Z., Sood, K., Sun, C., et al. (2023). Personalized federated learning for heterogeneous residential load forecasting. Big Data Mining and Analytics, 6(4): 421-432. https://doi.org/10.26599/BDMA.2022.9020043</w:t>
      </w:r>
    </w:p>
    <w:p>
      <w:pPr>
        <w:spacing w:after="80"/>
        <w:ind w:left="500" w:hanging="500"/>
        <w:jc w:val="left"/>
      </w:pPr>
      <w:r>
        <w:rPr>
          <w:sz w:val="20"/>
          <w:szCs w:val="20"/>
        </w:rPr>
        <w:t>[11]</w:t>
      </w:r>
      <w:r>
        <w:rPr>
          <w:sz w:val="20"/>
          <w:szCs w:val="20"/>
        </w:rPr>
        <w:tab/>
      </w:r>
      <w:r>
        <w:rPr>
          <w:sz w:val="20"/>
          <w:szCs w:val="20"/>
        </w:rPr>
        <w:t xml:space="preserve">Liu, Y., Dong, Z., Liu, B., Xu, Y., Ding, Z. (2023). FedForecast: A federated learning framework for short-term probabilistic individual load forecasting in smart grid. International Journal of Electrical Power &amp; Energy Systems, 152: 109172. https://doi.org/10.1016/j.ijepes.2023.109172</w:t>
      </w:r>
    </w:p>
    <w:p>
      <w:pPr>
        <w:spacing w:after="80"/>
        <w:ind w:left="500" w:hanging="500"/>
        <w:jc w:val="left"/>
      </w:pPr>
      <w:r>
        <w:rPr>
          <w:sz w:val="20"/>
          <w:szCs w:val="20"/>
        </w:rPr>
        <w:t>[12]</w:t>
      </w:r>
      <w:r>
        <w:rPr>
          <w:sz w:val="20"/>
          <w:szCs w:val="20"/>
        </w:rPr>
        <w:tab/>
      </w:r>
      <w:r>
        <w:rPr>
          <w:sz w:val="20"/>
          <w:szCs w:val="20"/>
        </w:rPr>
        <w:t xml:space="preserve">Das, P., Pandey, S., Pandey, C., Kumar, D. (2026). Heterogeneity-aware personalised federated learning for household energy forecasting on multi-source real-world smart meter data. Scientific Reports, 16: 24957. https://doi.org/10.1038/s41598-026-53020-6</w:t>
      </w:r>
    </w:p>
    <w:p>
      <w:pPr>
        <w:spacing w:after="80"/>
        <w:ind w:left="500" w:hanging="500"/>
        <w:jc w:val="left"/>
      </w:pPr>
      <w:r>
        <w:rPr>
          <w:sz w:val="20"/>
          <w:szCs w:val="20"/>
        </w:rPr>
        <w:t>[13]</w:t>
      </w:r>
      <w:r>
        <w:rPr>
          <w:sz w:val="20"/>
          <w:szCs w:val="20"/>
        </w:rPr>
        <w:tab/>
      </w:r>
      <w:r>
        <w:rPr>
          <w:sz w:val="20"/>
          <w:szCs w:val="20"/>
        </w:rPr>
        <w:t xml:space="preserve">Li, T., Sahu, A.K., Zaheer, M., Sanjabi, M., Talwalkar, A., Smith, V. (2020). Federated optimization in heterogeneous networks. In Proceedings of Machine Learning and Systems (MLSys), vol. 2, pp. 429-450. https://proceedings.mlsys.org/paper_files/paper/2020/hash/1f5fe83998a09396ebe6477d9475ba0c-Abstract.html</w:t>
      </w:r>
    </w:p>
    <w:p>
      <w:pPr>
        <w:spacing w:after="80"/>
        <w:ind w:left="500" w:hanging="500"/>
        <w:jc w:val="left"/>
      </w:pPr>
      <w:r>
        <w:rPr>
          <w:sz w:val="20"/>
          <w:szCs w:val="20"/>
        </w:rPr>
        <w:t>[14]</w:t>
      </w:r>
      <w:r>
        <w:rPr>
          <w:sz w:val="20"/>
          <w:szCs w:val="20"/>
        </w:rPr>
        <w:tab/>
      </w:r>
      <w:r>
        <w:rPr>
          <w:sz w:val="20"/>
          <w:szCs w:val="20"/>
        </w:rPr>
        <w:t xml:space="preserve">Dogra, A., Anand, A., Bedi, J. (2023). Consumers profiling based federated learning approach for energy load forecasting. Sustainable Cities and Society, 98: 104815. https://doi.org/10.1016/j.scs.2023.104815</w:t>
      </w:r>
    </w:p>
    <w:p>
      <w:pPr>
        <w:spacing w:after="80"/>
        <w:ind w:left="500" w:hanging="500"/>
        <w:jc w:val="left"/>
      </w:pPr>
      <w:r>
        <w:rPr>
          <w:sz w:val="20"/>
          <w:szCs w:val="20"/>
        </w:rPr>
        <w:t>[15]</w:t>
      </w:r>
      <w:r>
        <w:rPr>
          <w:sz w:val="20"/>
          <w:szCs w:val="20"/>
        </w:rPr>
        <w:tab/>
      </w:r>
      <w:r>
        <w:rPr>
          <w:sz w:val="20"/>
          <w:szCs w:val="20"/>
        </w:rPr>
        <w:t xml:space="preserve">Taïk, A., Cherkaoui, S. (2020). Electrical load forecasting using edge computing and federated learning. In ICC 2020 – 2020 IEEE International Conference on Communications (ICC), pp. 1-6. https://doi.org/10.1109/ICC40277.2020.9148937</w:t>
      </w:r>
    </w:p>
    <w:p>
      <w:pPr>
        <w:spacing w:after="80"/>
        <w:ind w:left="500" w:hanging="500"/>
        <w:jc w:val="left"/>
      </w:pPr>
      <w:r>
        <w:rPr>
          <w:sz w:val="20"/>
          <w:szCs w:val="20"/>
        </w:rPr>
        <w:t>[16]</w:t>
      </w:r>
      <w:r>
        <w:rPr>
          <w:sz w:val="20"/>
          <w:szCs w:val="20"/>
        </w:rPr>
        <w:tab/>
      </w:r>
      <w:r>
        <w:rPr>
          <w:sz w:val="20"/>
          <w:szCs w:val="20"/>
        </w:rPr>
        <w:t xml:space="preserve">Savi, M., Olivadese, F. (2021). Short-term energy consumption forecasting at the edge: A federated learning approach. IEEE Access, 9: 95949-95969. https://doi.org/10.1109/ACCESS.2021.3094089</w:t>
      </w:r>
    </w:p>
    <w:p>
      <w:pPr>
        <w:spacing w:after="80"/>
        <w:ind w:left="500" w:hanging="500"/>
        <w:jc w:val="left"/>
      </w:pPr>
      <w:r>
        <w:rPr>
          <w:sz w:val="20"/>
          <w:szCs w:val="20"/>
        </w:rPr>
        <w:t>[17]</w:t>
      </w:r>
      <w:r>
        <w:rPr>
          <w:sz w:val="20"/>
          <w:szCs w:val="20"/>
        </w:rPr>
        <w:tab/>
      </w:r>
      <w:r>
        <w:rPr>
          <w:sz w:val="20"/>
          <w:szCs w:val="20"/>
        </w:rPr>
        <w:t xml:space="preserve">Briggs, C., Fan, Z., Andras, P. (2020). Privacy preserving demand forecasting to encourage consumer acceptance of smart energy meters. In NeurIPS 2020 Workshop on Tackling Climate Change with Machine Learning. https://doi.org/10.48550/arXiv.2012.07449</w:t>
      </w:r>
    </w:p>
    <w:p>
      <w:pPr>
        <w:spacing w:after="80"/>
        <w:ind w:left="500" w:hanging="500"/>
        <w:jc w:val="left"/>
      </w:pPr>
      <w:r>
        <w:rPr>
          <w:sz w:val="20"/>
          <w:szCs w:val="20"/>
        </w:rPr>
        <w:t>[18]</w:t>
      </w:r>
      <w:r>
        <w:rPr>
          <w:sz w:val="20"/>
          <w:szCs w:val="20"/>
        </w:rPr>
        <w:tab/>
      </w:r>
      <w:r>
        <w:rPr>
          <w:sz w:val="20"/>
          <w:szCs w:val="20"/>
        </w:rPr>
        <w:t xml:space="preserve">UK Power Networks (2015). SmartMeter energy consumption data in London households (Low Carbon London project). London Datastore. https://data.london.gov.uk/dataset/smartmeter-energy-consumption-data-in-london-households-vqm0d, accessed on 8 October 2026</w:t>
      </w:r>
    </w:p>
    <w:p>
      <w:pPr>
        <w:spacing w:after="80"/>
        <w:ind w:left="500" w:hanging="500"/>
        <w:jc w:val="left"/>
      </w:pPr>
      <w:r>
        <w:rPr>
          <w:sz w:val="20"/>
          <w:szCs w:val="20"/>
        </w:rPr>
        <w:t>[19]</w:t>
      </w:r>
      <w:r>
        <w:rPr>
          <w:sz w:val="20"/>
          <w:szCs w:val="20"/>
        </w:rPr>
        <w:tab/>
      </w:r>
      <w:r>
        <w:rPr>
          <w:sz w:val="20"/>
          <w:szCs w:val="20"/>
        </w:rPr>
        <w:t xml:space="preserve">Briggs, C., Fan, Z., Andras, P. (2022). Federated learning for short-term residential load forecasting. IEEE Open Access Journal of Power and Energy, 9: 573-583. https://doi.org/10.1109/OAJPE.2022.3206220</w:t>
      </w:r>
    </w:p>
    <w:p>
      <w:pPr>
        <w:spacing w:after="80"/>
        <w:ind w:left="500" w:hanging="500"/>
        <w:jc w:val="left"/>
      </w:pPr>
      <w:r>
        <w:rPr>
          <w:sz w:val="20"/>
          <w:szCs w:val="20"/>
        </w:rPr>
        <w:t>[20]</w:t>
      </w:r>
      <w:r>
        <w:rPr>
          <w:sz w:val="20"/>
          <w:szCs w:val="20"/>
        </w:rPr>
        <w:tab/>
      </w:r>
      <w:r>
        <w:rPr>
          <w:sz w:val="20"/>
          <w:szCs w:val="20"/>
        </w:rPr>
        <w:t xml:space="preserve">Lu, N., Liu, S., Wen, Q., Chen, Q., Sun, L., Wang, Y. (2024). Federated domain separation for distributed forecasting of non-IID household loads. IEEE Transactions on Smart Grid, 15(4): 4271-4283. https://doi.org/10.1109/TSG.2024.3367766</w:t>
      </w:r>
    </w:p>
    <w:p>
      <w:pPr>
        <w:spacing w:after="80"/>
        <w:ind w:left="500" w:hanging="500"/>
        <w:jc w:val="left"/>
      </w:pPr>
      <w:r>
        <w:rPr>
          <w:sz w:val="20"/>
          <w:szCs w:val="20"/>
        </w:rPr>
        <w:t>[21]</w:t>
      </w:r>
      <w:r>
        <w:rPr>
          <w:sz w:val="20"/>
          <w:szCs w:val="20"/>
        </w:rPr>
        <w:tab/>
      </w:r>
      <w:r>
        <w:rPr>
          <w:sz w:val="20"/>
          <w:szCs w:val="20"/>
        </w:rPr>
        <w:t xml:space="preserve">Zhu, L., Liu, Z., Han, S. (2019). Deep leakage from gradients. In Advances in Neural Information Processing Systems (NeurIPS), vol. 32. https://proceedings.neurips.cc/paper_files/paper/2019/hash/60a6c4002cc7b29142def8871531281a-Abstract.html</w:t>
      </w:r>
    </w:p>
    <w:p>
      <w:pPr>
        <w:spacing w:after="80"/>
        <w:ind w:left="500" w:hanging="500"/>
        <w:jc w:val="left"/>
      </w:pPr>
      <w:r>
        <w:rPr>
          <w:sz w:val="20"/>
          <w:szCs w:val="20"/>
        </w:rPr>
        <w:t>[22]</w:t>
      </w:r>
      <w:r>
        <w:rPr>
          <w:sz w:val="20"/>
          <w:szCs w:val="20"/>
        </w:rPr>
        <w:tab/>
      </w:r>
      <w:r>
        <w:rPr>
          <w:sz w:val="20"/>
          <w:szCs w:val="20"/>
        </w:rPr>
        <w:t xml:space="preserve">Geiping, J., Bauermeister, H., Dröge, H., Moeller, M. (2020). Inverting gradients – How easy is it to break privacy in federated learning? In Advances in Neural Information Processing Systems (NeurIPS), vol. 33, pp. 16937-16947. https://proceedings.neurips.cc/paper_files/paper/2020/hash/c4ede56bbd98819ae6112b20ac6bf145-Abstract.html</w:t>
      </w:r>
    </w:p>
    <w:p>
      <w:pPr>
        <w:spacing w:after="80"/>
        <w:ind w:left="500" w:hanging="500"/>
        <w:jc w:val="left"/>
      </w:pPr>
      <w:r>
        <w:rPr>
          <w:sz w:val="20"/>
          <w:szCs w:val="20"/>
        </w:rPr>
        <w:t>[23]</w:t>
      </w:r>
      <w:r>
        <w:rPr>
          <w:sz w:val="20"/>
          <w:szCs w:val="20"/>
        </w:rPr>
        <w:tab/>
      </w:r>
      <w:r>
        <w:rPr>
          <w:sz w:val="20"/>
          <w:szCs w:val="20"/>
        </w:rPr>
        <w:t xml:space="preserve">Konečný, J., McMahan, H.B., Yu, F.X., Richtárik, P., Suresh, A.T., Bacon, D. (2016). Federated learning: Strategies for improving communication efficiency. arXiv preprint arXiv:1610.05492. https://doi.org/10.48550/arXiv.1610.05492</w:t>
      </w:r>
    </w:p>
    <w:p>
      <w:pPr>
        <w:spacing w:after="80"/>
        <w:ind w:left="500" w:hanging="500"/>
        <w:jc w:val="left"/>
      </w:pPr>
      <w:r>
        <w:rPr>
          <w:sz w:val="20"/>
          <w:szCs w:val="20"/>
        </w:rPr>
        <w:t>[24]</w:t>
      </w:r>
      <w:r>
        <w:rPr>
          <w:sz w:val="20"/>
          <w:szCs w:val="20"/>
        </w:rPr>
        <w:tab/>
      </w:r>
      <w:r>
        <w:rPr>
          <w:sz w:val="20"/>
          <w:szCs w:val="20"/>
        </w:rPr>
        <w:t xml:space="preserve">Zhao, Y., Li, M., Lai, L., Suda, N., Civin, D., Chandra, V. (2018). Federated learning with non-IID data. arXiv preprint arXiv:1806.00582. https://doi.org/10.48550/arXiv.1806.00582</w:t>
      </w:r>
    </w:p>
    <w:p>
      <w:pPr>
        <w:spacing w:after="80"/>
        <w:ind w:left="500" w:hanging="500"/>
        <w:jc w:val="left"/>
      </w:pPr>
      <w:r>
        <w:rPr>
          <w:sz w:val="20"/>
          <w:szCs w:val="20"/>
        </w:rPr>
        <w:t>[25]</w:t>
      </w:r>
      <w:r>
        <w:rPr>
          <w:sz w:val="20"/>
          <w:szCs w:val="20"/>
        </w:rPr>
        <w:tab/>
      </w:r>
      <w:r>
        <w:rPr>
          <w:sz w:val="20"/>
          <w:szCs w:val="20"/>
        </w:rPr>
        <w:t xml:space="preserve">Karimireddy, S.P., Kale, S., Mohri, M., Reddi, S., Stich, S., Suresh, A.T. (2020). SCAFFOLD: Stochastic controlled averaging for federated learning. In Proceedings of the 37th International Conference on Machine Learning (ICML), vol. 119, pp. 5132-5143. https://proceedings.mlr.press/v119/karimireddy20a.html</w:t>
      </w:r>
    </w:p>
    <w:p>
      <w:pPr>
        <w:spacing w:after="80"/>
        <w:ind w:left="500" w:hanging="500"/>
        <w:jc w:val="left"/>
      </w:pPr>
      <w:r>
        <w:rPr>
          <w:sz w:val="20"/>
          <w:szCs w:val="20"/>
        </w:rPr>
        <w:t>[26]</w:t>
      </w:r>
      <w:r>
        <w:rPr>
          <w:sz w:val="20"/>
          <w:szCs w:val="20"/>
        </w:rPr>
        <w:tab/>
      </w:r>
      <w:r>
        <w:rPr>
          <w:sz w:val="20"/>
          <w:szCs w:val="20"/>
        </w:rPr>
        <w:t xml:space="preserve">Hsu, T.-M.H., Qi, H., Brown, M. (2019). Measuring the effects of non-identical data distribution for federated visual classification. arXiv preprint arXiv:1909.06335. https://doi.org/10.48550/arXiv.1909.06335</w:t>
      </w:r>
    </w:p>
    <w:p>
      <w:pPr>
        <w:spacing w:after="80"/>
        <w:ind w:left="500" w:hanging="500"/>
        <w:jc w:val="left"/>
      </w:pPr>
      <w:r>
        <w:rPr>
          <w:sz w:val="20"/>
          <w:szCs w:val="20"/>
        </w:rPr>
        <w:t>[27]</w:t>
      </w:r>
      <w:r>
        <w:rPr>
          <w:sz w:val="20"/>
          <w:szCs w:val="20"/>
        </w:rPr>
        <w:tab/>
      </w:r>
      <w:r>
        <w:rPr>
          <w:sz w:val="20"/>
          <w:szCs w:val="20"/>
        </w:rPr>
        <w:t xml:space="preserve">Mhou, K., Senekane, M. (2025). HAPI-FedProx: Heterogeneity-aware adaptive proximal optimization for federated learning. In Artificial Intelligence Research (SACAIR), pp. 272-286. https://doi.org/10.1007/978-3-032-11733-5_17</w:t>
      </w:r>
    </w:p>
    <w:p>
      <w:pPr>
        <w:spacing w:after="80"/>
        <w:ind w:left="500" w:hanging="500"/>
        <w:jc w:val="left"/>
      </w:pPr>
      <w:r>
        <w:rPr>
          <w:sz w:val="20"/>
          <w:szCs w:val="20"/>
        </w:rPr>
        <w:t>[28]</w:t>
      </w:r>
      <w:r>
        <w:rPr>
          <w:sz w:val="20"/>
          <w:szCs w:val="20"/>
        </w:rPr>
        <w:tab/>
      </w:r>
      <w:r>
        <w:rPr>
          <w:sz w:val="20"/>
          <w:szCs w:val="20"/>
        </w:rPr>
        <w:t xml:space="preserve">Yin, D., Pananjady, A., Lam, M., Papailiopoulos, D., Ramchandran, K., Bartlett, P. (2018). Gradient diversity: a key ingredient for scalable distributed learning. In Proceedings of the 21st International Conference on Artificial Intelligence and Statistics (AISTATS), vol. 84, pp. 1998-2007. https://proceedings.mlr.press/v84/yin18a.html</w:t>
      </w:r>
    </w:p>
    <w:p>
      <w:pPr>
        <w:spacing w:after="80"/>
        <w:ind w:left="500" w:hanging="500"/>
        <w:jc w:val="left"/>
      </w:pPr>
      <w:r>
        <w:rPr>
          <w:sz w:val="20"/>
          <w:szCs w:val="20"/>
        </w:rPr>
        <w:t>[29]</w:t>
      </w:r>
      <w:r>
        <w:rPr>
          <w:sz w:val="20"/>
          <w:szCs w:val="20"/>
        </w:rPr>
        <w:tab/>
      </w:r>
      <w:r>
        <w:rPr>
          <w:sz w:val="20"/>
          <w:szCs w:val="20"/>
        </w:rPr>
        <w:t xml:space="preserve">Lin, J. (1991). Divergence measures based on the Shannon entropy. IEEE Transactions on Information Theory, 37(1): 145-151. https://doi.org/10.1109/18.61115</w:t>
      </w:r>
    </w:p>
    <w:p>
      <w:pPr>
        <w:spacing w:after="80"/>
        <w:ind w:left="500" w:hanging="500"/>
        <w:jc w:val="left"/>
      </w:pPr>
      <w:r>
        <w:rPr>
          <w:sz w:val="20"/>
          <w:szCs w:val="20"/>
        </w:rPr>
        <w:t>[30]</w:t>
      </w:r>
      <w:r>
        <w:rPr>
          <w:sz w:val="20"/>
          <w:szCs w:val="20"/>
        </w:rPr>
        <w:tab/>
      </w:r>
      <w:r>
        <w:rPr>
          <w:sz w:val="20"/>
          <w:szCs w:val="20"/>
        </w:rPr>
        <w:t xml:space="preserve">Beutel, D.J., Topal, T., Mathur, A., Qiu, X., Fernandez-Marques, J., Gao, Y., et al. (2020). Flower: A friendly federated learning research framework. arXiv preprint arXiv:2007.14390. https://doi.org/10.48550/arXiv.2007.14390</w:t>
      </w:r>
    </w:p>
    <w:p>
      <w:pPr>
        <w:spacing w:after="80"/>
        <w:ind w:left="500" w:hanging="500"/>
        <w:jc w:val="left"/>
      </w:pPr>
      <w:r>
        <w:rPr>
          <w:sz w:val="20"/>
          <w:szCs w:val="20"/>
        </w:rPr>
        <w:t>[31]</w:t>
      </w:r>
      <w:r>
        <w:rPr>
          <w:sz w:val="20"/>
          <w:szCs w:val="20"/>
        </w:rPr>
        <w:tab/>
      </w:r>
      <w:r>
        <w:rPr>
          <w:sz w:val="20"/>
          <w:szCs w:val="20"/>
        </w:rPr>
        <w:t xml:space="preserve">Wilcoxon, F. (1945). Individual comparisons by ranking methods. Biometrics Bulletin, 1(6): 80-83. https://doi.org/10.2307/3001968</w:t>
      </w:r>
    </w:p>
    <w:p>
      <w:pPr>
        <w:spacing w:after="80"/>
        <w:ind w:left="500" w:hanging="500"/>
        <w:jc w:val="left"/>
      </w:pPr>
      <w:r>
        <w:rPr>
          <w:sz w:val="20"/>
          <w:szCs w:val="20"/>
        </w:rPr>
        <w:t>[32]</w:t>
      </w:r>
      <w:r>
        <w:rPr>
          <w:sz w:val="20"/>
          <w:szCs w:val="20"/>
        </w:rPr>
        <w:tab/>
      </w:r>
      <w:r>
        <w:rPr>
          <w:sz w:val="20"/>
          <w:szCs w:val="20"/>
        </w:rPr>
        <w:t xml:space="preserve">Holm, S. (1979). A simple sequentially rejective multiple test procedure. Scandinavian Journal of Statistics, 6(2): 65-70. https://www.jstor.org/stable/4615733</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Pushkal Gupta; Vanka Kaushik; Kalaavathi B</dc:creator>
  <cp:lastModifiedBy>Pushkal Gupta</cp:lastModifiedBy>
  <dcterms:modified xsi:type="dcterms:W3CDTF">2026-10-04T16:40:27Z</dcterms:modified>
  <cp:revision>1</cp:revision>
  <dc:title>Fragmentation, not heterogeneity, drives the accuracy cost of federated household load forecasting</dc:title>
  <dc:subject>Manuscript</dc:subject>
  <cp:keywords>smart meters; long short-term memory; non-IID data; communication efficiency; Low Carbon London; personalisation</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