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Response to the second internal review</w:t>
      </w:r>
    </w:p>
    <w:p>
      <w:r>
        <w:t>We thank the reviewer for the second reading. We ran 96 further training runs (one diverged step size included): homes and the IID window control trained to a plateau at K=20, 50 and 100 (up to 500 rounds); client Adam with kept state, client SGD and server-side Adam (FedAdam) at K=20 and 100 with step sizes chosen on validation; the window control in both further cohorts; client-only training with the same local fine-tuning as FedAvg; and seeds 45 and 46 for the arms of the main comparisons that had three. All significance tests are now run-level with one Holm correction. The title now names the training budget. Numbering below refers to the second revision: the former Fig. 3 is now Fig. 4 and the cohort table is Table 4. Every number is generated from the result files.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</w:tcPr>
          <w:p>
            <w:r/>
            <w:r>
              <w:rPr>
                <w:b/>
              </w:rPr>
              <w:t>No.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Comment</w:t>
            </w:r>
          </w:p>
        </w:tc>
        <w:tc>
          <w:tcPr>
            <w:tcW w:type="dxa" w:w="4896"/>
          </w:tcPr>
          <w:p>
            <w:r/>
            <w:r>
              <w:rPr>
                <w:b/>
              </w:rPr>
              <w:t>Response</w:t>
            </w:r>
          </w:p>
        </w:tc>
        <w:tc>
          <w:tcPr>
            <w:tcW w:type="dxa" w:w="1584"/>
          </w:tcPr>
          <w:p>
            <w:r/>
            <w:r>
              <w:rPr>
                <w:b/>
              </w:rPr>
              <w:t>Where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Major 1: the headline is at 30 rounds; run homes and windows to a plateau at K = 20, 50, 100; plot error against rounds and MB; if the IID gap closes the title should say budget.</w:t>
            </w:r>
          </w:p>
        </w:tc>
        <w:tc>
          <w:tcPr>
            <w:tcW w:type="dxa" w:w="4896"/>
          </w:tcPr>
          <w:p>
            <w:r>
              <w:t>Done (Fig. 3, Table 2, Supplementary Table S5). At the plateau the gap was 1.8, 4.4 and 5.4 % with homes and 1.3, 1.9 and 3.5 % with windows: more rounds removed 39–66 % of the 30-round gap, but the IID gap did not close. Because the budget is a large part of the cost, the title is now “Training budget and fragmentation, more than heterogeneity, drive the accuracy cost of federated household load forecasting”. Fig. 2 now shows the plateau points and the “upper bounds” sentence is replaced by per-seed best and stop rounds; one K=100 run with homes reached the 500-round cap and is flagged as an upper bound.</w:t>
            </w:r>
          </w:p>
        </w:tc>
        <w:tc>
          <w:tcPr>
            <w:tcW w:type="dxa" w:w="1584"/>
          </w:tcPr>
          <w:p>
            <w:r>
              <w:t>Title; Abstract; Section 4.2; Figs. 2-3; Table 2; Table S5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Major 2: optimiser set-up (Adam restarts each round); repeat K = 20 and 100 with SGD, kept state or a server optimiser; explain the rise in rounds 4-5 of Fig. 3(a).</w:t>
            </w:r>
          </w:p>
        </w:tc>
        <w:tc>
          <w:tcPr>
            <w:tcW w:type="dxa" w:w="4896"/>
          </w:tcPr>
          <w:p>
            <w:r>
              <w:t>Done at K=20 and 100 over 100 rounds (Section 4.3, Table S6). Step sizes were chosen on validation (Table S7): client SGD 0.3 (1.0 diverged) and FedAdam 0.01; because 0.01 lay at the edge of the grid, 0.03 was also run and is reported as not selected. Keeping Adam state made no difference (3.2 against 2.5 % at K=20, 7.4 against 7.3 % at K=100). Client SGD was worse (8.3 and 10.4 %). FedAdam did not help at K=20 (3.7 %) but narrowed the one-home-per-client gap to 5.3 % (4.2 % at step 0.03), in every paired seed though not significantly (pHolm =1.000). No optimiser closed the gap; the text now says that a server-side optimiser recovers part of the budget cost. The early rise is explained in Section 4.4: its size was 2.2 % for the window control and 4.8–7.9 % for groupings of homes, and it coincides with disagreement between client updates in rounds 2–5 (0.75–0.78 against 0.24). With Adam state kept the rise was 5.1 % against 4.7 % with restarts, so the restarts do not cause it.</w:t>
            </w:r>
          </w:p>
        </w:tc>
        <w:tc>
          <w:tcPr>
            <w:tcW w:type="dxa" w:w="1584"/>
          </w:tcPr>
          <w:p>
            <w:r>
              <w:t>Sections 3.1, 4.3, 4.4; Tables S6-S7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Major 3: one cohort; run the control in every cohort, quote ranges in the abstract, move Table S5 into the paper.</w:t>
            </w:r>
          </w:p>
        </w:tc>
        <w:tc>
          <w:tcPr>
            <w:tcW w:type="dxa" w:w="4896"/>
          </w:tcPr>
          <w:p>
            <w:r>
              <w:t>Done. The window control ran at K=5, 20 and 100 in both further cohorts (two seeds each). With 20 or more clients it kept 71–96 % of the gap in every cohort; this range is in the abstract. At K=5 the gaps are small and change sign between cohorts, which the text states. The cohort table is now Table 4 in the main text.</w:t>
            </w:r>
          </w:p>
        </w:tc>
        <w:tc>
          <w:tcPr>
            <w:tcW w:type="dxa" w:w="1584"/>
          </w:tcPr>
          <w:p>
            <w:r>
              <w:t>Abstract; Section 4.5; Table 4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Major 4: household-level tests over-confident; compare at seed level or with a mixed model; add a homes-versus-windows term; one correction rule; Section 4.4 uses uncorrected p-values.</w:t>
            </w:r>
          </w:p>
        </w:tc>
        <w:tc>
          <w:tcPr>
            <w:tcW w:type="dxa" w:w="4896"/>
          </w:tcPr>
          <w:p>
            <w:r>
              <w:t>All tests are now run-level: the pooled test MAE of each run, paired by seed (or Welch where seeds differ), which equals the arm test of a mixed model with crossed household and run effects. One Holm correction covers all 31 comparisons (Supplementary Table S1) and every p in the text is that value; household shares are descriptive. Seeds 45 and 46 were added to the 30-round arms of the comparisons (five seeds each). The regression has a homes-versus-windows term (0.5×10⁻³ kWh, CI 0.0 to 0.9); ln K and HJS are correlated among home groupings (r=0.85), and within K=20 the heterogeneity term is not significant. With few runs per arm several differences are no longer significant; the text says so rather than relying on household-level p-values.</w:t>
            </w:r>
          </w:p>
        </w:tc>
        <w:tc>
          <w:tcPr>
            <w:tcW w:type="dxa" w:w="1584"/>
          </w:tcPr>
          <w:p>
            <w:r>
              <w:t>Sections 3.4, 4.1-4.8; Table S1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Major 5: forecasting task weak (one step; FedAvg at K = 100 worse than persistence in MASE). Add day-ahead or limit the claims.</w:t>
            </w:r>
          </w:p>
        </w:tc>
        <w:tc>
          <w:tcPr>
            <w:tcW w:type="dxa" w:w="4896"/>
          </w:tcPr>
          <w:p>
            <w:r>
              <w:t>Claims are limited to one-step forecasts in the abstract, Section 4.5, the limitations and the conclusion; day-ahead forecasting with rolling evaluation is named as future work.</w:t>
            </w:r>
          </w:p>
        </w:tc>
        <w:tc>
          <w:tcPr>
            <w:tcW w:type="dxa" w:w="1584"/>
          </w:tcPr>
          <w:p>
            <w:r>
              <w:t>Abstract; Sections 4.5, 5, 6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Major 6: unequal fine-tuning comparison; add client-only + FT; client-only rows in Table 1; one-home result in the abstract.</w:t>
            </w:r>
          </w:p>
        </w:tc>
        <w:tc>
          <w:tcPr>
            <w:tcW w:type="dxa" w:w="4896"/>
          </w:tcPr>
          <w:p>
            <w:r>
              <w:t>Client-only training was rerun with the same one-epoch per-home fine-tuning (0.0838 and 0.0852 kWh at K=5 and 20), and both client-only rows are in Table 1. FedAvg + FT was better than client-only + FT by −20.1 and −18.8×10⁻⁴ kWh in 5 of 5 and 5 of 5 paired seeds (pHolm =0.120 and =0.054). The abstract states that FedAvg + FT with one home per client (0.0849 kWh) still loses to local models (0.0839 kWh).</w:t>
            </w:r>
          </w:p>
        </w:tc>
        <w:tc>
          <w:tcPr>
            <w:tcW w:type="dxa" w:w="1584"/>
          </w:tcPr>
          <w:p>
            <w:r>
              <w:t>Abstract; Section 4.5; Table 1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78-83 % qualified with K = 5: the paper says 58 % but Table 2 gives 55-56 %.</w:t>
            </w:r>
          </w:p>
        </w:tc>
        <w:tc>
          <w:tcPr>
            <w:tcW w:type="dxa" w:w="4896"/>
          </w:tcPr>
          <w:p>
            <w:r>
              <w:t>The share in the text was computed from unrounded gaps, the table gave rounded gaps, hence the mismatch. Table 2 now has a column with the share computed from unrounded gaps, so text and table agree; with seeds 45 and 46 it is 60 % at K=5 and 76–85 % at K≥20. The cohort table had used only seeds 42 and 43 of the main cohort; it now uses all seeds, as Table 2.</w:t>
            </w:r>
          </w:p>
        </w:tc>
        <w:tc>
          <w:tcPr>
            <w:tcW w:type="dxa" w:w="1584"/>
          </w:tcPr>
          <w:p>
            <w:r>
              <w:t>Section 4.2; Tables 2 and 4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“within 0.0008”, “rose steadily”, K = 50 best round 56 / stopped 76.</w:t>
            </w:r>
          </w:p>
        </w:tc>
        <w:tc>
          <w:tcPr>
            <w:tcW w:type="dxa" w:w="4896"/>
          </w:tcPr>
          <w:p>
            <w:r>
              <w:t>The range is given as 0.0851–0.0860 kWh. “Rose steadily” is replaced: the excess error was 7.1 % for the control and 8.3–9.4 % for groupings of homes, not ordered by HJS. Per-seed best and stop rounds are given for the 100-round runs (Table S2: K=50 best 52, 90, 25, stopped 77, 100, 50) and for the plateau runs.</w:t>
            </w:r>
          </w:p>
        </w:tc>
        <w:tc>
          <w:tcPr>
            <w:tcW w:type="dxa" w:w="1584"/>
          </w:tcPr>
          <w:p>
            <w:r>
              <w:t>Sections 4.2, 4.4; Tables S2, S5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Traffic of the 100-round runs; S7 and Fig. S1 never cited.</w:t>
            </w:r>
          </w:p>
        </w:tc>
        <w:tc>
          <w:tcPr>
            <w:tcW w:type="dxa" w:w="4896"/>
          </w:tcPr>
          <w:p>
            <w:r>
              <w:t>The 100-round runs moved 275, 521 and 1,377 MB at K=20, 50 and 100, and the K=100 plateau runs with homes 4,711 MB on average (6,887 MB for the run stopped at the 500-round cap); both are in Section 4.2. Fig. S1 and every supplementary table or its section are cited from the main text (the former Table S7 is now Table S9).</w:t>
            </w:r>
          </w:p>
        </w:tc>
        <w:tc>
          <w:tcPr>
            <w:tcW w:type="dxa" w:w="1584"/>
          </w:tcPr>
          <w:p>
            <w:r>
              <w:t>Section 4.2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§4.3: “every run qualified after the first round (14.3 MB)” contradicts Table 3.</w:t>
            </w:r>
          </w:p>
        </w:tc>
        <w:tc>
          <w:tcPr>
            <w:tcW w:type="dxa" w:w="4896"/>
          </w:tcPr>
          <w:p>
            <w:r>
              <w:t>Removed. Within 20 % the control settled after the first round in every seed (2.8 MB) while seeds of the groupings of homes needed 2.8–22.0 MB.</w:t>
            </w:r>
          </w:p>
        </w:tc>
        <w:tc>
          <w:tcPr>
            <w:tcW w:type="dxa" w:w="1584"/>
          </w:tcPr>
          <w:p>
            <w:r>
              <w:t>Section 4.4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§4.3: “the IID control needed more than random grouping” is now reversed; re-argue from seed ranges or drop.</w:t>
            </w:r>
          </w:p>
        </w:tc>
        <w:tc>
          <w:tcPr>
            <w:tcW w:type="dxa" w:w="4896"/>
          </w:tcPr>
          <w:p>
            <w:r>
              <w:t>Re-argued from seed ranges. Within 10 % the control needed the least traffic on average (20.9 MB; seeds 13.8–38.6 MB). Among groupings of homes the means ran from 23.1 MB (shape-sorted, the most divergent) to 34.2 MB (cluster), with widely overlapping seed ranges (random 16.5–77.1, cluster 16.5–46.8 MB), so traffic did not follow HJS.</w:t>
            </w:r>
          </w:p>
        </w:tc>
        <w:tc>
          <w:tcPr>
            <w:tcW w:type="dxa" w:w="1584"/>
          </w:tcPr>
          <w:p>
            <w:r>
              <w:t>Section 4.4; Table 3; Fig. 4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Table 3 and Fig. 3 captions still describe the old definition.</w:t>
            </w:r>
          </w:p>
        </w:tc>
        <w:tc>
          <w:tcPr>
            <w:tcW w:type="dxa" w:w="4896"/>
          </w:tcPr>
          <w:p>
            <w:r>
              <w:t>Both captions now describe the round after which validation MAE stays within ε for the rest of the run.</w:t>
            </w:r>
          </w:p>
        </w:tc>
        <w:tc>
          <w:tcPr>
            <w:tcW w:type="dxa" w:w="1584"/>
          </w:tcPr>
          <w:p>
            <w:r>
              <w:t>Table 3; Fig. 4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Table 3, B@5 %: a crossing only in the final round counts as reached.</w:t>
            </w:r>
          </w:p>
        </w:tc>
        <w:tc>
          <w:tcPr>
            <w:tcW w:type="dxa" w:w="4896"/>
          </w:tcPr>
          <w:p>
            <w:r>
              <w:t>A run that qualifies only in its last round now counts as not settled, in the code and in both captions. With this rule the shape-sorted and α=1.0 entries are no longer counted as reached; within 5 % 3 of 5 control runs and 1 run each at α=0.3 and α=0.1 settle, all near the end of the 30 rounds.</w:t>
            </w:r>
          </w:p>
        </w:tc>
        <w:tc>
          <w:tcPr>
            <w:tcW w:type="dxa" w:w="1584"/>
          </w:tcPr>
          <w:p>
            <w:r>
              <w:t>Table 3; Fig. 4</w:t>
            </w:r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Title page: Dr Kalaavathi's ORCID dropped; corresponding author is a student address.</w:t>
            </w:r>
          </w:p>
        </w:tc>
        <w:tc>
          <w:tcPr>
            <w:tcW w:type="dxa" w:w="4896"/>
          </w:tcPr>
          <w:p>
            <w:r>
              <w:t>All three ORCIDs are on the title page (0009-0004-7032-6847, 0009-0003-0735-264X, 0000-0003-4027-3137), and Dr Kalaavathi B (kalaavathi.b@vit.ac.in) is now the corresponding author.</w:t>
            </w:r>
          </w:p>
        </w:tc>
        <w:tc>
          <w:tcPr>
            <w:tcW w:type="dxa" w:w="1584"/>
          </w:tcPr>
          <w:p>
            <w:r>
              <w:t>Title page; cover letter</w:t>
            </w:r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§5: restore the Briggs et al. detail “up to 500 epochs”.</w:t>
            </w:r>
          </w:p>
        </w:tc>
        <w:tc>
          <w:tcPr>
            <w:tcW w:type="dxa" w:w="4896"/>
          </w:tcPr>
          <w:p>
            <w:r>
              <w:t>Restored, with the model size, and used as support for the budget explanation.</w:t>
            </w:r>
          </w:p>
        </w:tc>
        <w:tc>
          <w:tcPr>
            <w:tcW w:type="dxa" w:w="1584"/>
          </w:tcPr>
          <w:p>
            <w:r>
              <w:t>Section 5</w:t>
            </w:r>
          </w:p>
        </w:tc>
      </w:tr>
      <w:tr>
        <w:tc>
          <w:tcPr>
            <w:tcW w:type="dxa" w:w="576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Optional: stronger heterogeneity test (time-of-use homes or unequal client sizes).</w:t>
            </w:r>
          </w:p>
        </w:tc>
        <w:tc>
          <w:tcPr>
            <w:tcW w:type="dxa" w:w="4896"/>
          </w:tcPr>
          <w:p>
            <w:r>
              <w:t>Not run. Time-of-use homes and unequal clients are named in the limitations and in future work.</w:t>
            </w:r>
          </w:p>
        </w:tc>
        <w:tc>
          <w:tcPr>
            <w:tcW w:type="dxa" w:w="1584"/>
          </w:tcPr>
          <w:p>
            <w:r>
              <w:t>Sections 5 and 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