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160"/>
        <w:jc w:val="center"/>
      </w:pPr>
      <w:r>
        <w:rPr>
          <w:b/>
          <w:bCs/>
          <w:sz w:val="30"/>
          <w:szCs w:val="30"/>
        </w:rPr>
        <w:t>Supplementary material</w:t>
      </w:r>
    </w:p>
    <w:p>
      <w:pPr>
        <w:spacing w:after="60"/>
        <w:jc w:val="center"/>
      </w:pPr>
      <w:r>
        <w:rPr>
          <w:sz w:val="22"/>
          <w:szCs w:val="22"/>
        </w:rPr>
        <w:t xml:space="preserve">Pushkal Gupta</w:t>
      </w:r>
      <w:r>
        <w:rPr>
          <w:sz w:val="16"/>
          <w:szCs w:val="16"/>
          <w:vertAlign w:val="superscript"/>
        </w:rPr>
        <w:t>1,*</w:t>
      </w:r>
      <w:r>
        <w:rPr>
          <w:sz w:val="22"/>
          <w:szCs w:val="22"/>
        </w:rPr>
        <w:t xml:space="preserve">, Vanka Kaushik</w:t>
      </w:r>
      <w:r>
        <w:rPr>
          <w:sz w:val="16"/>
          <w:szCs w:val="16"/>
          <w:vertAlign w:val="superscript"/>
        </w:rPr>
        <w:t>1</w:t>
      </w:r>
      <w:r>
        <w:rPr>
          <w:sz w:val="22"/>
          <w:szCs w:val="22"/>
        </w:rPr>
        <w:t xml:space="preserve">, Kalaavathi B</w:t>
      </w:r>
      <w:r>
        <w:rPr>
          <w:sz w:val="16"/>
          <w:szCs w:val="16"/>
          <w:vertAlign w:val="superscript"/>
        </w:rPr>
        <w:t>1</w:t>
      </w:r>
    </w:p>
    <w:p>
      <w:pPr>
        <w:spacing w:after="40"/>
        <w:jc w:val="center"/>
      </w:pPr>
      <w:r>
        <w:rPr>
          <w:sz w:val="16"/>
          <w:szCs w:val="16"/>
          <w:vertAlign w:val="superscript"/>
        </w:rPr>
        <w:t>1</w:t>
      </w:r>
      <w:r>
        <w:rPr>
          <w:i/>
          <w:iCs/>
          <w:sz w:val="19"/>
          <w:szCs w:val="19"/>
        </w:rPr>
        <w:t xml:space="preserve"> School of Computer Science and Engineering, Vellore Institute of Technology, Vellore 632014, Tamil Nadu, India</w:t>
      </w:r>
    </w:p>
    <w:p>
      <w:pPr>
        <w:spacing w:after="240"/>
        <w:jc w:val="center"/>
      </w:pPr>
      <w:r>
        <w:rPr>
          <w:i/>
          <w:iCs/>
          <w:sz w:val="19"/>
          <w:szCs w:val="19"/>
        </w:rPr>
        <w:t>* Corresponding author: pushkal.gupta2023@vitstudent.ac.in</w:t>
      </w:r>
    </w:p>
    <w:p>
      <w:pPr>
        <w:pStyle w:val="2"/>
        <w:keepNext/>
        <w:spacing w:before="320" w:after="120"/>
      </w:pPr>
      <w:r>
        <w:rPr>
          <w:b/>
          <w:bCs/>
          <w:color w:val="1F3864"/>
          <w:sz w:val="26"/>
          <w:szCs w:val="26"/>
        </w:rPr>
        <w:t xml:space="preserve">S1. Paired household-level tests</w:t>
      </w:r>
    </w:p>
    <w:p>
      <w:pPr>
        <w:spacing w:after="120" w:line="276" w:lineRule="auto"/>
        <w:jc w:val="both"/>
      </w:pPr>
      <w:r>
        <w:rPr>
          <w:sz w:val="22"/>
          <w:szCs w:val="22"/>
        </w:rPr>
        <w:t xml:space="preserve">Table S1 lists every paired comparison. Each household's test MAE was averaged over the seeds of an arm before testing, so each test has one pair per household (100 pairs). The Holm correction was applied over all rows of the table together. Median </w:t>
      </w:r>
      <m:oMath>
        <m:r>
          <w:rPr>
            <w:rFonts w:ascii="Cambria Math" w:hAnsi="Cambria Math"/>
            <w:sz w:val="22"/>
            <w:szCs w:val="22"/>
          </w:rPr>
          <m:t>Δ</m:t>
        </m:r>
      </m:oMath>
      <w:r>
        <w:rPr>
          <w:sz w:val="22"/>
          <w:szCs w:val="22"/>
        </w:rPr>
        <w:t xml:space="preserve">MAE is the median over households of the difference A minus B; negative values favour A.</w:t>
      </w:r>
    </w:p>
    <w:p>
      <w:pPr>
        <w:keepNext/>
        <w:keepLines/>
        <w:spacing w:before="80" w:after="160"/>
        <w:jc w:val="both"/>
      </w:pPr>
      <w:r>
        <w:rPr>
          <w:b/>
          <w:bCs/>
          <w:sz w:val="19"/>
          <w:szCs w:val="19"/>
        </w:rPr>
        <w:t>Table S1.</w:t>
      </w:r>
      <w:r>
        <w:rPr>
          <w:sz w:val="19"/>
          <w:szCs w:val="19"/>
        </w:rPr>
        <w:t xml:space="preserve"> </w:t>
      </w:r>
      <w:r>
        <w:rPr>
          <w:sz w:val="19"/>
          <w:szCs w:val="19"/>
        </w:rPr>
        <w:t xml:space="preserve">Wilcoxon signed-rank tests over households (seed-averaged MAE). A better: share of households with lower MAE under A.</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37"/>
        <w:gridCol w:w="2166"/>
        <w:gridCol w:w="1624"/>
        <w:gridCol w:w="1353"/>
        <w:gridCol w:w="722"/>
        <w:gridCol w:w="724"/>
      </w:tblGrid>
      <w:tr>
        <w:trPr>
          <w:tblHeader/>
          <w:cantSplit/>
        </w:trPr>
        <w:tc>
          <w:tcPr>
            <w:tcW w:w="2437"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w:t>
            </w:r>
          </w:p>
        </w:tc>
        <w:tc>
          <w:tcPr>
            <w:tcW w:w="2166"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B</w:t>
            </w:r>
          </w:p>
        </w:tc>
        <w:tc>
          <w:tcPr>
            <w:tcW w:w="162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w:t>
            </w:r>
            <w:r>
              <w:rPr>
                <w:b/>
                <w:bCs/>
                <w:color w:val="FFFFFF"/>
                <w:sz w:val="17"/>
                <w:szCs w:val="17"/>
              </w:rPr>
              <w:t xml:space="preserve">Δ</w:t>
            </w:r>
            <w:r>
              <w:rPr>
                <w:b/>
                <w:bCs/>
                <w:color w:val="FFFFFF"/>
                <w:sz w:val="17"/>
                <w:szCs w:val="17"/>
              </w:rPr>
              <w:t xml:space="preserve">MAE (A</w:t>
            </w:r>
            <w:r>
              <w:rPr>
                <w:b/>
                <w:bCs/>
                <w:color w:val="FFFFFF"/>
                <w:sz w:val="17"/>
                <w:szCs w:val="17"/>
              </w:rPr>
              <w:t xml:space="preserve">−</w:t>
            </w:r>
            <w:r>
              <w:rPr>
                <w:b/>
                <w:bCs/>
                <w:color w:val="FFFFFF"/>
                <w:sz w:val="17"/>
                <w:szCs w:val="17"/>
              </w:rPr>
              <w:t xml:space="preserve">B)</w:t>
            </w:r>
          </w:p>
        </w:tc>
        <w:tc>
          <w:tcPr>
            <w:tcW w:w="135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A better (%)</w:t>
            </w:r>
          </w:p>
        </w:tc>
        <w:tc>
          <w:tcPr>
            <w:tcW w:w="72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p</w:t>
            </w:r>
          </w:p>
        </w:tc>
        <w:tc>
          <w:tcPr>
            <w:tcW w:w="724"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p</w:t>
            </w:r>
            <w:r>
              <w:rPr>
                <w:b/>
                <w:bCs/>
                <w:color w:val="FFFFFF"/>
                <w:sz w:val="17"/>
                <w:szCs w:val="17"/>
                <w:vertAlign w:val="subscript"/>
              </w:rPr>
              <w:t xml:space="preserve">Holm</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34</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0.0005</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0.0047</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+0.0025</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0</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0</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69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0.0007</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0.0061</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0.0004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0.0047</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0.0674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0.2021</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43</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0.0031</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0.0217</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25</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cluster</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39</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0.0093</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+0.0004</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 partial</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FedProx, </w:t>
            </w:r>
            <w:r>
              <w:rPr>
                <w:i/>
                <w:iCs/>
                <w:sz w:val="17"/>
                <w:szCs w:val="17"/>
              </w:rPr>
              <w:t xml:space="preserve">α</w:t>
            </w:r>
            <w:r>
              <w:rPr>
                <w:sz w:val="17"/>
                <w:szCs w:val="17"/>
              </w:rPr>
              <w:t xml:space="preserve">=0.3, partial</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+0.0002</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35</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0.0469</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0.1875</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44</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0.0106</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0.0638</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+0.0027</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18</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+0.0045</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0</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HA-FedProx, K=100</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fp16</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92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−0.0016</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72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K=1,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−0.0000</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52</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0.1046</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0.2092</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FedAvg, K=1, random</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+0.0023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 local FT</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−0.0001</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51</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0.4960</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0.4960</w:t>
            </w:r>
          </w:p>
        </w:tc>
      </w:tr>
      <w:tr>
        <w:trPr>
          <w:cantSplit/>
        </w:trPr>
        <w:tc>
          <w:tcPr>
            <w:tcW w:w="2437"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 + local FT</w:t>
            </w:r>
          </w:p>
        </w:tc>
        <w:tc>
          <w:tcPr>
            <w:tcW w:w="2166"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624"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1353" w:type="dxa"/>
            <w:tcMar>
              <w:top w:w="40" w:type="dxa"/>
              <w:left w:w="80" w:type="dxa"/>
              <w:bottom w:w="40" w:type="dxa"/>
              <w:right w:w="80" w:type="dxa"/>
            </w:tcMar>
          </w:tcPr>
          <w:p>
            <w:pPr>
              <w:keepNext/>
              <w:spacing w:before="0" w:after="0" w:line="240" w:lineRule="auto"/>
              <w:jc w:val="right"/>
            </w:pPr>
            <w:r>
              <w:rPr>
                <w:sz w:val="17"/>
                <w:szCs w:val="17"/>
              </w:rPr>
              <w:t xml:space="preserve">26</w:t>
            </w:r>
          </w:p>
        </w:tc>
        <w:tc>
          <w:tcPr>
            <w:tcW w:w="722"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c>
          <w:tcPr>
            <w:tcW w:w="724" w:type="dxa"/>
            <w:tcMar>
              <w:top w:w="40" w:type="dxa"/>
              <w:left w:w="80" w:type="dxa"/>
              <w:bottom w:w="40" w:type="dxa"/>
              <w:right w:w="80" w:type="dxa"/>
            </w:tcMar>
          </w:tcPr>
          <w:p>
            <w:pPr>
              <w:keepNext/>
              <w:spacing w:before="0" w:after="0" w:line="240" w:lineRule="auto"/>
              <w:jc w:val="right"/>
            </w:pPr>
            <w:r>
              <w:rPr>
                <w:sz w:val="17"/>
                <w:szCs w:val="17"/>
              </w:rPr>
              <w:t xml:space="preserve">&lt;</w:t>
            </w:r>
            <w:r>
              <w:rPr>
                <w:sz w:val="17"/>
                <w:szCs w:val="17"/>
              </w:rPr>
              <w:t xml:space="preserve">1</w:t>
            </w:r>
            <w:r>
              <w:rPr>
                <w:sz w:val="17"/>
                <w:szCs w:val="17"/>
              </w:rPr>
              <w:t xml:space="preserve">0</w:t>
            </w:r>
            <w:r>
              <w:rPr>
                <w:sz w:val="17"/>
                <w:szCs w:val="17"/>
                <w:vertAlign w:val="superscript"/>
              </w:rPr>
              <w:t xml:space="preserve">−4</w:t>
            </w:r>
          </w:p>
        </w:tc>
      </w:tr>
      <w:tr>
        <w:trPr>
          <w:cantSplit/>
        </w:trPr>
        <w:tc>
          <w:tcPr>
            <w:tcW w:w="2437" w:type="dxa"/>
            <w:tcMar>
              <w:top w:w="40" w:type="dxa"/>
              <w:left w:w="80" w:type="dxa"/>
              <w:bottom w:w="40" w:type="dxa"/>
              <w:right w:w="80" w:type="dxa"/>
            </w:tcMar>
          </w:tcPr>
          <w:p>
            <w:pPr>
              <w:spacing w:before="0" w:after="0" w:line="240" w:lineRule="auto"/>
              <w:jc w:val="left"/>
            </w:pPr>
            <w:r>
              <w:rPr>
                <w:sz w:val="17"/>
                <w:szCs w:val="17"/>
              </w:rPr>
              <w:t xml:space="preserve">FedAvg, K=100 + local FT</w:t>
            </w:r>
          </w:p>
        </w:tc>
        <w:tc>
          <w:tcPr>
            <w:tcW w:w="2166" w:type="dxa"/>
            <w:tcMar>
              <w:top w:w="40" w:type="dxa"/>
              <w:left w:w="80" w:type="dxa"/>
              <w:bottom w:w="40" w:type="dxa"/>
              <w:right w:w="80" w:type="dxa"/>
            </w:tcMar>
          </w:tcPr>
          <w:p>
            <w:pPr>
              <w:spacing w:before="0" w:after="0" w:line="240" w:lineRule="auto"/>
              <w:jc w:val="left"/>
            </w:pPr>
            <w:r>
              <w:rPr>
                <w:sz w:val="17"/>
                <w:szCs w:val="17"/>
              </w:rPr>
              <w:t xml:space="preserve">Local-only</w:t>
            </w:r>
          </w:p>
        </w:tc>
        <w:tc>
          <w:tcPr>
            <w:tcW w:w="1624" w:type="dxa"/>
            <w:tcMar>
              <w:top w:w="40" w:type="dxa"/>
              <w:left w:w="80" w:type="dxa"/>
              <w:bottom w:w="40" w:type="dxa"/>
              <w:right w:w="80" w:type="dxa"/>
            </w:tcMar>
          </w:tcPr>
          <w:p>
            <w:pPr>
              <w:spacing w:before="0" w:after="0" w:line="240" w:lineRule="auto"/>
              <w:jc w:val="right"/>
            </w:pPr>
            <w:r>
              <w:rPr>
                <w:sz w:val="17"/>
                <w:szCs w:val="17"/>
              </w:rPr>
              <w:t xml:space="preserve">+0.0006</w:t>
            </w:r>
          </w:p>
        </w:tc>
        <w:tc>
          <w:tcPr>
            <w:tcW w:w="1353" w:type="dxa"/>
            <w:tcMar>
              <w:top w:w="40" w:type="dxa"/>
              <w:left w:w="80" w:type="dxa"/>
              <w:bottom w:w="40" w:type="dxa"/>
              <w:right w:w="80" w:type="dxa"/>
            </w:tcMar>
          </w:tcPr>
          <w:p>
            <w:pPr>
              <w:spacing w:before="0" w:after="0" w:line="240" w:lineRule="auto"/>
              <w:jc w:val="right"/>
            </w:pPr>
            <w:r>
              <w:rPr>
                <w:sz w:val="17"/>
                <w:szCs w:val="17"/>
              </w:rPr>
              <w:t xml:space="preserve">39</w:t>
            </w:r>
          </w:p>
        </w:tc>
        <w:tc>
          <w:tcPr>
            <w:tcW w:w="722" w:type="dxa"/>
            <w:tcMar>
              <w:top w:w="40" w:type="dxa"/>
              <w:left w:w="80" w:type="dxa"/>
              <w:bottom w:w="40" w:type="dxa"/>
              <w:right w:w="80" w:type="dxa"/>
            </w:tcMar>
          </w:tcPr>
          <w:p>
            <w:pPr>
              <w:spacing w:before="0" w:after="0" w:line="240" w:lineRule="auto"/>
              <w:jc w:val="right"/>
            </w:pPr>
            <w:r>
              <w:rPr>
                <w:sz w:val="17"/>
                <w:szCs w:val="17"/>
              </w:rPr>
              <w:t xml:space="preserve">0.0142</w:t>
            </w:r>
          </w:p>
        </w:tc>
        <w:tc>
          <w:tcPr>
            <w:tcW w:w="724" w:type="dxa"/>
            <w:tcMar>
              <w:top w:w="40" w:type="dxa"/>
              <w:left w:w="80" w:type="dxa"/>
              <w:bottom w:w="40" w:type="dxa"/>
              <w:right w:w="80" w:type="dxa"/>
            </w:tcMar>
          </w:tcPr>
          <w:p>
            <w:pPr>
              <w:spacing w:before="0" w:after="0" w:line="240" w:lineRule="auto"/>
              <w:jc w:val="right"/>
            </w:pPr>
            <w:r>
              <w:rPr>
                <w:sz w:val="17"/>
                <w:szCs w:val="17"/>
              </w:rPr>
              <w:t xml:space="preserve">0.0711</w:t>
            </w:r>
          </w:p>
        </w:tc>
      </w:tr>
    </w:tbl>
    <w:p>
      <w:pPr>
        <w:spacing w:after="120"/>
      </w:pPr>
    </w:p>
    <w:p>
      <w:pPr>
        <w:pStyle w:val="2"/>
        <w:keepNext/>
        <w:spacing w:before="320" w:after="120"/>
      </w:pPr>
      <w:r>
        <w:rPr>
          <w:b/>
          <w:bCs/>
          <w:color w:val="1F3864"/>
          <w:sz w:val="26"/>
          <w:szCs w:val="26"/>
        </w:rPr>
        <w:t xml:space="preserve">S2. Training budget and round selection</w:t>
      </w:r>
    </w:p>
    <w:p>
      <w:pPr>
        <w:spacing w:after="120" w:line="276" w:lineRule="auto"/>
        <w:jc w:val="both"/>
      </w:pPr>
      <w:r>
        <w:rPr>
          <w:sz w:val="22"/>
          <w:szCs w:val="22"/>
        </w:rPr>
        <w:t xml:space="preserve">Table S2 gives, for each number of clients, the local Adam steps per client and round, the round chosen on validation error and the test MAE, for the 30-round budget of the main text and for runs of up to 100 rounds that stopped after 25 rounds without a new best validation MAE. Fig. S1 shows the validation curves.</w:t>
      </w:r>
    </w:p>
    <w:p>
      <w:pPr>
        <w:keepNext/>
        <w:keepLines/>
        <w:spacing w:before="80" w:after="160"/>
        <w:jc w:val="both"/>
      </w:pPr>
      <w:r>
        <w:rPr>
          <w:b/>
          <w:bCs/>
          <w:sz w:val="19"/>
          <w:szCs w:val="19"/>
        </w:rPr>
        <w:t>Table S2.</w:t>
      </w:r>
      <w:r>
        <w:rPr>
          <w:sz w:val="19"/>
          <w:szCs w:val="19"/>
        </w:rPr>
        <w:t xml:space="preserve"> </w:t>
      </w:r>
      <w:r>
        <w:rPr>
          <w:sz w:val="19"/>
          <w:szCs w:val="19"/>
        </w:rPr>
        <w:t xml:space="preserve">Budget per number of clients </w:t>
      </w:r>
      <m:oMath>
        <m:r>
          <w:rPr>
            <w:rFonts w:ascii="Cambria Math" w:hAnsi="Cambria Math"/>
            <w:sz w:val="19"/>
            <w:szCs w:val="19"/>
          </w:rPr>
          <m:t>K</m:t>
        </m:r>
      </m:oMath>
      <w:r>
        <w:rPr>
          <w:sz w:val="19"/>
          <w:szCs w:val="19"/>
        </w:rPr>
        <w:t xml:space="preserve"> (FedAvg, random grouping). Steps/round: Adam steps per client per round. Best rd.: round selected on validation MAE (mean over seeds). Gap: test MAE relative to centralised.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72"/>
        <w:gridCol w:w="1248"/>
        <w:gridCol w:w="1440"/>
        <w:gridCol w:w="960"/>
        <w:gridCol w:w="960"/>
        <w:gridCol w:w="1728"/>
        <w:gridCol w:w="1056"/>
        <w:gridCol w:w="962"/>
      </w:tblGrid>
      <w:tr>
        <w:trPr>
          <w:tblHeader/>
          <w:cantSplit/>
        </w:trPr>
        <w:tc>
          <w:tcPr>
            <w:tcW w:w="672"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124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Steps/round</w:t>
            </w:r>
          </w:p>
        </w:tc>
        <w:tc>
          <w:tcPr>
            <w:tcW w:w="144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Best rd. (30)</w:t>
            </w:r>
          </w:p>
        </w:tc>
        <w:tc>
          <w:tcPr>
            <w:tcW w:w="96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(30)</w:t>
            </w:r>
          </w:p>
        </w:tc>
        <w:tc>
          <w:tcPr>
            <w:tcW w:w="96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172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Best / run (100)</w:t>
            </w:r>
          </w:p>
        </w:tc>
        <w:tc>
          <w:tcPr>
            <w:tcW w:w="105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(100)</w:t>
            </w:r>
          </w:p>
        </w:tc>
        <w:tc>
          <w:tcPr>
            <w:tcW w:w="96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r>
      <w:tr>
        <w:trPr>
          <w:cantSplit/>
        </w:trPr>
        <w:tc>
          <w:tcPr>
            <w:tcW w:w="672"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1248" w:type="dxa"/>
            <w:tcMar>
              <w:top w:w="40" w:type="dxa"/>
              <w:left w:w="80" w:type="dxa"/>
              <w:bottom w:w="40" w:type="dxa"/>
              <w:right w:w="80" w:type="dxa"/>
            </w:tcMar>
          </w:tcPr>
          <w:p>
            <w:pPr>
              <w:keepNext/>
              <w:spacing w:before="0" w:after="0" w:line="240" w:lineRule="auto"/>
              <w:jc w:val="right"/>
            </w:pPr>
            <w:r>
              <w:rPr>
                <w:sz w:val="16"/>
                <w:szCs w:val="16"/>
              </w:rPr>
              <w:t xml:space="preserve">4,534</w:t>
            </w:r>
          </w:p>
        </w:tc>
        <w:tc>
          <w:tcPr>
            <w:tcW w:w="1440" w:type="dxa"/>
            <w:tcMar>
              <w:top w:w="40" w:type="dxa"/>
              <w:left w:w="80" w:type="dxa"/>
              <w:bottom w:w="40" w:type="dxa"/>
              <w:right w:w="80" w:type="dxa"/>
            </w:tcMar>
          </w:tcPr>
          <w:p>
            <w:pPr>
              <w:keepNext/>
              <w:spacing w:before="0" w:after="0" w:line="240" w:lineRule="auto"/>
              <w:jc w:val="right"/>
            </w:pPr>
            <w:r>
              <w:rPr>
                <w:sz w:val="16"/>
                <w:szCs w:val="16"/>
              </w:rPr>
              <w:t xml:space="preserve">16.3</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0.0808</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−0.3</w:t>
            </w:r>
          </w:p>
        </w:tc>
        <w:tc>
          <w:tcPr>
            <w:tcW w:w="1728"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05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962"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672"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248" w:type="dxa"/>
            <w:tcMar>
              <w:top w:w="40" w:type="dxa"/>
              <w:left w:w="80" w:type="dxa"/>
              <w:bottom w:w="40" w:type="dxa"/>
              <w:right w:w="80" w:type="dxa"/>
            </w:tcMar>
          </w:tcPr>
          <w:p>
            <w:pPr>
              <w:keepNext/>
              <w:spacing w:before="0" w:after="0" w:line="240" w:lineRule="auto"/>
              <w:jc w:val="right"/>
            </w:pPr>
            <w:r>
              <w:rPr>
                <w:sz w:val="16"/>
                <w:szCs w:val="16"/>
              </w:rPr>
              <w:t xml:space="preserve">907</w:t>
            </w:r>
          </w:p>
        </w:tc>
        <w:tc>
          <w:tcPr>
            <w:tcW w:w="1440" w:type="dxa"/>
            <w:tcMar>
              <w:top w:w="40" w:type="dxa"/>
              <w:left w:w="80" w:type="dxa"/>
              <w:bottom w:w="40" w:type="dxa"/>
              <w:right w:w="80" w:type="dxa"/>
            </w:tcMar>
          </w:tcPr>
          <w:p>
            <w:pPr>
              <w:keepNext/>
              <w:spacing w:before="0" w:after="0" w:line="240" w:lineRule="auto"/>
              <w:jc w:val="right"/>
            </w:pPr>
            <w:r>
              <w:rPr>
                <w:sz w:val="16"/>
                <w:szCs w:val="16"/>
              </w:rPr>
              <w:t xml:space="preserve">23.0</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0.0827</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728"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105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962"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672"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248" w:type="dxa"/>
            <w:tcMar>
              <w:top w:w="40" w:type="dxa"/>
              <w:left w:w="80" w:type="dxa"/>
              <w:bottom w:w="40" w:type="dxa"/>
              <w:right w:w="80" w:type="dxa"/>
            </w:tcMar>
          </w:tcPr>
          <w:p>
            <w:pPr>
              <w:keepNext/>
              <w:spacing w:before="0" w:after="0" w:line="240" w:lineRule="auto"/>
              <w:jc w:val="right"/>
            </w:pPr>
            <w:r>
              <w:rPr>
                <w:sz w:val="16"/>
                <w:szCs w:val="16"/>
              </w:rPr>
              <w:t xml:space="preserve">227</w:t>
            </w:r>
          </w:p>
        </w:tc>
        <w:tc>
          <w:tcPr>
            <w:tcW w:w="1440" w:type="dxa"/>
            <w:tcMar>
              <w:top w:w="40" w:type="dxa"/>
              <w:left w:w="80" w:type="dxa"/>
              <w:bottom w:w="40" w:type="dxa"/>
              <w:right w:w="80" w:type="dxa"/>
            </w:tcMar>
          </w:tcPr>
          <w:p>
            <w:pPr>
              <w:keepNext/>
              <w:spacing w:before="0" w:after="0" w:line="240" w:lineRule="auto"/>
              <w:jc w:val="right"/>
            </w:pPr>
            <w:r>
              <w:rPr>
                <w:sz w:val="16"/>
                <w:szCs w:val="16"/>
              </w:rPr>
              <w:t xml:space="preserve">22.0</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0.0854</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+5.3</w:t>
            </w:r>
          </w:p>
        </w:tc>
        <w:tc>
          <w:tcPr>
            <w:tcW w:w="1728" w:type="dxa"/>
            <w:tcMar>
              <w:top w:w="40" w:type="dxa"/>
              <w:left w:w="80" w:type="dxa"/>
              <w:bottom w:w="40" w:type="dxa"/>
              <w:right w:w="80" w:type="dxa"/>
            </w:tcMar>
          </w:tcPr>
          <w:p>
            <w:pPr>
              <w:keepNext/>
              <w:spacing w:before="0" w:after="0" w:line="240" w:lineRule="auto"/>
              <w:jc w:val="right"/>
            </w:pPr>
            <w:r>
              <w:rPr>
                <w:sz w:val="16"/>
                <w:szCs w:val="16"/>
              </w:rPr>
              <w:t xml:space="preserve">96 / 100</w:t>
            </w:r>
          </w:p>
        </w:tc>
        <w:tc>
          <w:tcPr>
            <w:tcW w:w="1056" w:type="dxa"/>
            <w:tcMar>
              <w:top w:w="40" w:type="dxa"/>
              <w:left w:w="80" w:type="dxa"/>
              <w:bottom w:w="40" w:type="dxa"/>
              <w:right w:w="80" w:type="dxa"/>
            </w:tcMar>
          </w:tcPr>
          <w:p>
            <w:pPr>
              <w:keepNext/>
              <w:spacing w:before="0" w:after="0" w:line="240" w:lineRule="auto"/>
              <w:jc w:val="right"/>
            </w:pPr>
            <w:r>
              <w:rPr>
                <w:sz w:val="16"/>
                <w:szCs w:val="16"/>
              </w:rPr>
              <w:t xml:space="preserve">0.0832</w:t>
            </w:r>
          </w:p>
        </w:tc>
        <w:tc>
          <w:tcPr>
            <w:tcW w:w="962" w:type="dxa"/>
            <w:tcMar>
              <w:top w:w="40" w:type="dxa"/>
              <w:left w:w="80" w:type="dxa"/>
              <w:bottom w:w="40" w:type="dxa"/>
              <w:right w:w="80" w:type="dxa"/>
            </w:tcMar>
          </w:tcPr>
          <w:p>
            <w:pPr>
              <w:keepNext/>
              <w:spacing w:before="0" w:after="0" w:line="240" w:lineRule="auto"/>
              <w:jc w:val="right"/>
            </w:pPr>
            <w:r>
              <w:rPr>
                <w:sz w:val="16"/>
                <w:szCs w:val="16"/>
              </w:rPr>
              <w:t xml:space="preserve">+2.7</w:t>
            </w:r>
          </w:p>
        </w:tc>
      </w:tr>
      <w:tr>
        <w:trPr>
          <w:cantSplit/>
        </w:trPr>
        <w:tc>
          <w:tcPr>
            <w:tcW w:w="672"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1248" w:type="dxa"/>
            <w:tcMar>
              <w:top w:w="40" w:type="dxa"/>
              <w:left w:w="80" w:type="dxa"/>
              <w:bottom w:w="40" w:type="dxa"/>
              <w:right w:w="80" w:type="dxa"/>
            </w:tcMar>
          </w:tcPr>
          <w:p>
            <w:pPr>
              <w:keepNext/>
              <w:spacing w:before="0" w:after="0" w:line="240" w:lineRule="auto"/>
              <w:jc w:val="right"/>
            </w:pPr>
            <w:r>
              <w:rPr>
                <w:sz w:val="16"/>
                <w:szCs w:val="16"/>
              </w:rPr>
              <w:t xml:space="preserve">91</w:t>
            </w:r>
          </w:p>
        </w:tc>
        <w:tc>
          <w:tcPr>
            <w:tcW w:w="1440" w:type="dxa"/>
            <w:tcMar>
              <w:top w:w="40" w:type="dxa"/>
              <w:left w:w="80" w:type="dxa"/>
              <w:bottom w:w="40" w:type="dxa"/>
              <w:right w:w="80" w:type="dxa"/>
            </w:tcMar>
          </w:tcPr>
          <w:p>
            <w:pPr>
              <w:keepNext/>
              <w:spacing w:before="0" w:after="0" w:line="240" w:lineRule="auto"/>
              <w:jc w:val="right"/>
            </w:pPr>
            <w:r>
              <w:rPr>
                <w:sz w:val="16"/>
                <w:szCs w:val="16"/>
              </w:rPr>
              <w:t xml:space="preserve">26.7</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0.0869</w:t>
            </w:r>
          </w:p>
        </w:tc>
        <w:tc>
          <w:tcPr>
            <w:tcW w:w="960" w:type="dxa"/>
            <w:tcMar>
              <w:top w:w="40" w:type="dxa"/>
              <w:left w:w="80" w:type="dxa"/>
              <w:bottom w:w="40" w:type="dxa"/>
              <w:right w:w="80" w:type="dxa"/>
            </w:tcMar>
          </w:tcPr>
          <w:p>
            <w:pPr>
              <w:keepNext/>
              <w:spacing w:before="0" w:after="0" w:line="240" w:lineRule="auto"/>
              <w:jc w:val="right"/>
            </w:pPr>
            <w:r>
              <w:rPr>
                <w:sz w:val="16"/>
                <w:szCs w:val="16"/>
              </w:rPr>
              <w:t xml:space="preserve">+7.2</w:t>
            </w:r>
          </w:p>
        </w:tc>
        <w:tc>
          <w:tcPr>
            <w:tcW w:w="1728" w:type="dxa"/>
            <w:tcMar>
              <w:top w:w="40" w:type="dxa"/>
              <w:left w:w="80" w:type="dxa"/>
              <w:bottom w:w="40" w:type="dxa"/>
              <w:right w:w="80" w:type="dxa"/>
            </w:tcMar>
          </w:tcPr>
          <w:p>
            <w:pPr>
              <w:keepNext/>
              <w:spacing w:before="0" w:after="0" w:line="240" w:lineRule="auto"/>
              <w:jc w:val="right"/>
            </w:pPr>
            <w:r>
              <w:rPr>
                <w:sz w:val="16"/>
                <w:szCs w:val="16"/>
              </w:rPr>
              <w:t xml:space="preserve">56 / 76</w:t>
            </w:r>
          </w:p>
        </w:tc>
        <w:tc>
          <w:tcPr>
            <w:tcW w:w="1056" w:type="dxa"/>
            <w:tcMar>
              <w:top w:w="40" w:type="dxa"/>
              <w:left w:w="80" w:type="dxa"/>
              <w:bottom w:w="40" w:type="dxa"/>
              <w:right w:w="80" w:type="dxa"/>
            </w:tcMar>
          </w:tcPr>
          <w:p>
            <w:pPr>
              <w:keepNext/>
              <w:spacing w:before="0" w:after="0" w:line="240" w:lineRule="auto"/>
              <w:jc w:val="right"/>
            </w:pPr>
            <w:r>
              <w:rPr>
                <w:sz w:val="16"/>
                <w:szCs w:val="16"/>
              </w:rPr>
              <w:t xml:space="preserve">0.0858</w:t>
            </w:r>
          </w:p>
        </w:tc>
        <w:tc>
          <w:tcPr>
            <w:tcW w:w="962" w:type="dxa"/>
            <w:tcMar>
              <w:top w:w="40" w:type="dxa"/>
              <w:left w:w="80" w:type="dxa"/>
              <w:bottom w:w="40" w:type="dxa"/>
              <w:right w:w="80" w:type="dxa"/>
            </w:tcMar>
          </w:tcPr>
          <w:p>
            <w:pPr>
              <w:keepNext/>
              <w:spacing w:before="0" w:after="0" w:line="240" w:lineRule="auto"/>
              <w:jc w:val="right"/>
            </w:pPr>
            <w:r>
              <w:rPr>
                <w:sz w:val="16"/>
                <w:szCs w:val="16"/>
              </w:rPr>
              <w:t xml:space="preserve">+5.9</w:t>
            </w:r>
          </w:p>
        </w:tc>
      </w:tr>
      <w:tr>
        <w:trPr>
          <w:cantSplit/>
        </w:trPr>
        <w:tc>
          <w:tcPr>
            <w:tcW w:w="672" w:type="dxa"/>
            <w:tcMar>
              <w:top w:w="40" w:type="dxa"/>
              <w:left w:w="80" w:type="dxa"/>
              <w:bottom w:w="40" w:type="dxa"/>
              <w:right w:w="80" w:type="dxa"/>
            </w:tcMar>
          </w:tcPr>
          <w:p>
            <w:pPr>
              <w:spacing w:before="0" w:after="0" w:line="240" w:lineRule="auto"/>
              <w:jc w:val="right"/>
            </w:pPr>
            <w:r>
              <w:rPr>
                <w:sz w:val="16"/>
                <w:szCs w:val="16"/>
              </w:rPr>
              <w:t xml:space="preserve">100</w:t>
            </w:r>
          </w:p>
        </w:tc>
        <w:tc>
          <w:tcPr>
            <w:tcW w:w="1248" w:type="dxa"/>
            <w:tcMar>
              <w:top w:w="40" w:type="dxa"/>
              <w:left w:w="80" w:type="dxa"/>
              <w:bottom w:w="40" w:type="dxa"/>
              <w:right w:w="80" w:type="dxa"/>
            </w:tcMar>
          </w:tcPr>
          <w:p>
            <w:pPr>
              <w:spacing w:before="0" w:after="0" w:line="240" w:lineRule="auto"/>
              <w:jc w:val="right"/>
            </w:pPr>
            <w:r>
              <w:rPr>
                <w:sz w:val="16"/>
                <w:szCs w:val="16"/>
              </w:rPr>
              <w:t xml:space="preserve">46</w:t>
            </w:r>
          </w:p>
        </w:tc>
        <w:tc>
          <w:tcPr>
            <w:tcW w:w="1440" w:type="dxa"/>
            <w:tcMar>
              <w:top w:w="40" w:type="dxa"/>
              <w:left w:w="80" w:type="dxa"/>
              <w:bottom w:w="40" w:type="dxa"/>
              <w:right w:w="80" w:type="dxa"/>
            </w:tcMar>
          </w:tcPr>
          <w:p>
            <w:pPr>
              <w:spacing w:before="0" w:after="0" w:line="240" w:lineRule="auto"/>
              <w:jc w:val="right"/>
            </w:pPr>
            <w:r>
              <w:rPr>
                <w:sz w:val="16"/>
                <w:szCs w:val="16"/>
              </w:rPr>
              <w:t xml:space="preserve">29.0</w:t>
            </w:r>
          </w:p>
        </w:tc>
        <w:tc>
          <w:tcPr>
            <w:tcW w:w="960" w:type="dxa"/>
            <w:tcMar>
              <w:top w:w="40" w:type="dxa"/>
              <w:left w:w="80" w:type="dxa"/>
              <w:bottom w:w="40" w:type="dxa"/>
              <w:right w:w="80" w:type="dxa"/>
            </w:tcMar>
          </w:tcPr>
          <w:p>
            <w:pPr>
              <w:spacing w:before="0" w:after="0" w:line="240" w:lineRule="auto"/>
              <w:jc w:val="right"/>
            </w:pPr>
            <w:r>
              <w:rPr>
                <w:sz w:val="16"/>
                <w:szCs w:val="16"/>
              </w:rPr>
              <w:t xml:space="preserve">0.0894</w:t>
            </w:r>
          </w:p>
        </w:tc>
        <w:tc>
          <w:tcPr>
            <w:tcW w:w="960" w:type="dxa"/>
            <w:tcMar>
              <w:top w:w="40" w:type="dxa"/>
              <w:left w:w="80" w:type="dxa"/>
              <w:bottom w:w="40" w:type="dxa"/>
              <w:right w:w="80" w:type="dxa"/>
            </w:tcMar>
          </w:tcPr>
          <w:p>
            <w:pPr>
              <w:spacing w:before="0" w:after="0" w:line="240" w:lineRule="auto"/>
              <w:jc w:val="right"/>
            </w:pPr>
            <w:r>
              <w:rPr>
                <w:sz w:val="16"/>
                <w:szCs w:val="16"/>
              </w:rPr>
              <w:t xml:space="preserve">+10.3</w:t>
            </w:r>
          </w:p>
        </w:tc>
        <w:tc>
          <w:tcPr>
            <w:tcW w:w="1728" w:type="dxa"/>
            <w:tcMar>
              <w:top w:w="40" w:type="dxa"/>
              <w:left w:w="80" w:type="dxa"/>
              <w:bottom w:w="40" w:type="dxa"/>
              <w:right w:w="80" w:type="dxa"/>
            </w:tcMar>
          </w:tcPr>
          <w:p>
            <w:pPr>
              <w:spacing w:before="0" w:after="0" w:line="240" w:lineRule="auto"/>
              <w:jc w:val="right"/>
            </w:pPr>
            <w:r>
              <w:rPr>
                <w:sz w:val="16"/>
                <w:szCs w:val="16"/>
              </w:rPr>
              <w:t xml:space="preserve">95 / 100</w:t>
            </w:r>
          </w:p>
        </w:tc>
        <w:tc>
          <w:tcPr>
            <w:tcW w:w="1056" w:type="dxa"/>
            <w:tcMar>
              <w:top w:w="40" w:type="dxa"/>
              <w:left w:w="80" w:type="dxa"/>
              <w:bottom w:w="40" w:type="dxa"/>
              <w:right w:w="80" w:type="dxa"/>
            </w:tcMar>
          </w:tcPr>
          <w:p>
            <w:pPr>
              <w:spacing w:before="0" w:after="0" w:line="240" w:lineRule="auto"/>
              <w:jc w:val="right"/>
            </w:pPr>
            <w:r>
              <w:rPr>
                <w:sz w:val="16"/>
                <w:szCs w:val="16"/>
              </w:rPr>
              <w:t xml:space="preserve">0.0871</w:t>
            </w:r>
          </w:p>
        </w:tc>
        <w:tc>
          <w:tcPr>
            <w:tcW w:w="962" w:type="dxa"/>
            <w:tcMar>
              <w:top w:w="40" w:type="dxa"/>
              <w:left w:w="80" w:type="dxa"/>
              <w:bottom w:w="40" w:type="dxa"/>
              <w:right w:w="80" w:type="dxa"/>
            </w:tcMar>
          </w:tcPr>
          <w:p>
            <w:pPr>
              <w:spacing w:before="0" w:after="0" w:line="240" w:lineRule="auto"/>
              <w:jc w:val="right"/>
            </w:pPr>
            <w:r>
              <w:rPr>
                <w:sz w:val="16"/>
                <w:szCs w:val="16"/>
              </w:rPr>
              <w:t xml:space="preserve">+7.4</w:t>
            </w:r>
          </w:p>
        </w:tc>
      </w:tr>
    </w:tbl>
    <w:p>
      <w:pPr>
        <w:spacing w:after="120"/>
      </w:pPr>
    </w:p>
    <w:p>
      <w:pPr>
        <w:keepNext/>
        <w:spacing w:before="0"/>
        <w:jc w:val="center"/>
      </w:pPr>
      <w:r>
        <w:drawing>
          <wp:inline xmlns:a="http://schemas.openxmlformats.org/drawingml/2006/main" xmlns:pic="http://schemas.openxmlformats.org/drawingml/2006/picture">
            <wp:extent cx="4873294" cy="2741228"/>
            <wp:docPr id="1" name="Picture 1"/>
            <wp:cNvGraphicFramePr>
              <a:graphicFrameLocks noChangeAspect="1"/>
            </wp:cNvGraphicFramePr>
            <a:graphic>
              <a:graphicData uri="http://schemas.openxmlformats.org/drawingml/2006/picture">
                <pic:pic>
                  <pic:nvPicPr>
                    <pic:cNvPr id="0" name="revision_budget.png"/>
                    <pic:cNvPicPr/>
                  </pic:nvPicPr>
                  <pic:blipFill>
                    <a:blip r:embed="rId8"/>
                    <a:stretch>
                      <a:fillRect/>
                    </a:stretch>
                  </pic:blipFill>
                  <pic:spPr>
                    <a:xfrm>
                      <a:off x="0" y="0"/>
                      <a:ext cx="4873294" cy="2741228"/>
                    </a:xfrm>
                    <a:prstGeom prst="rect"/>
                  </pic:spPr>
                </pic:pic>
              </a:graphicData>
            </a:graphic>
          </wp:inline>
        </w:drawing>
      </w:r>
    </w:p>
    <w:p>
      <w:pPr>
        <w:keepLines/>
        <w:spacing w:before="80" w:after="160"/>
        <w:jc w:val="both"/>
      </w:pPr>
      <w:r>
        <w:rPr>
          <w:b/>
          <w:bCs/>
          <w:sz w:val="19"/>
          <w:szCs w:val="19"/>
        </w:rPr>
        <w:t>Figure S1.</w:t>
      </w:r>
      <w:r>
        <w:rPr>
          <w:sz w:val="19"/>
          <w:szCs w:val="19"/>
        </w:rPr>
        <w:t xml:space="preserve"> </w:t>
      </w:r>
      <w:r>
        <w:rPr>
          <w:sz w:val="19"/>
          <w:szCs w:val="19"/>
        </w:rPr>
        <w:t xml:space="preserve">Validation MAE per round for each number of clients (mean over seeds). Solid: 30-round runs; dashed: runs of up to 100 rounds. Dotted: centralised.</w:t>
      </w:r>
    </w:p>
    <w:p>
      <w:pPr>
        <w:pStyle w:val="2"/>
        <w:keepNext/>
        <w:spacing w:before="320" w:after="120"/>
      </w:pPr>
      <w:r>
        <w:rPr>
          <w:b/>
          <w:bCs/>
          <w:color w:val="1F3864"/>
          <w:sz w:val="26"/>
          <w:szCs w:val="26"/>
        </w:rPr>
        <w:t xml:space="preserve">S3. Heterogeneity-adaptive proximal coefficient</w:t>
      </w:r>
    </w:p>
    <w:p>
      <w:pPr>
        <w:spacing w:after="120" w:line="276" w:lineRule="auto"/>
        <w:jc w:val="both"/>
      </w:pPr>
      <w:r>
        <w:rPr>
          <w:sz w:val="22"/>
          <w:szCs w:val="22"/>
        </w:rPr>
        <w:t xml:space="preserve">The original submission proposed a rule that sets the proximal coefficient from the disagreement between client updates. After round </w:t>
      </w:r>
      <m:oMath>
        <m:r>
          <w:rPr>
            <w:rFonts w:ascii="Cambria Math" w:hAnsi="Cambria Math"/>
            <w:sz w:val="22"/>
            <w:szCs w:val="22"/>
          </w:rPr>
          <m:t>r</m:t>
        </m:r>
      </m:oMath>
      <w:r>
        <w:rPr>
          <w:sz w:val="22"/>
          <w:szCs w:val="22"/>
        </w:rPr>
        <w:t xml:space="preserve"> the server holds the updates </w:t>
      </w:r>
      <m:oMath>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r</m:t>
            </m:r>
          </m:sub>
        </m:sSub>
      </m:oMath>
      <w:r>
        <w:rPr>
          <w:sz w:val="22"/>
          <w:szCs w:val="22"/>
        </w:rPr>
        <w:t xml:space="preserve"> and their weighted mean </w:t>
      </w:r>
      <m:oMath>
        <m:bar>
          <m:barPr>
            <m:pos m:val="top"/>
          </m:barPr>
          <m:e>
            <m:r>
              <w:rPr>
                <w:rFonts w:ascii="Cambria Math" w:hAnsi="Cambria Math"/>
                <w:sz w:val="22"/>
                <w:szCs w:val="22"/>
              </w:rPr>
              <m:t>Δ</m:t>
            </m:r>
          </m:e>
        </m:bar>
      </m:oMath>
      <w:r>
        <w:rPr>
          <w:sz w:val="22"/>
          <w:szCs w:val="22"/>
        </w:rPr>
        <w:t xml:space="preserve">, and computes</w:t>
      </w:r>
    </w:p>
    <w:p>
      <w:pPr>
        <w:tabs>
          <w:tab w:val="center" w:pos="4513"/>
          <w:tab w:val="right" w:pos="9026"/>
        </w:tabs>
        <w:spacing w:before="120" w:after="120"/>
        <w:jc w:val="left"/>
      </w:pPr>
      <w:r>
        <w:tab/>
      </w:r>
      <m:oMath>
        <m:sSub>
          <m:e>
            <m:r>
              <w:rPr>
                <w:rFonts w:ascii="Cambria Math" w:hAnsi="Cambria Math"/>
                <w:sz w:val="22"/>
                <w:szCs w:val="22"/>
              </w:rPr>
              <m:t>ρ</m:t>
            </m:r>
          </m:e>
          <m:sub>
            <m:r>
              <w:rPr>
                <w:rFonts w:ascii="Cambria Math" w:hAnsi="Cambria Math"/>
                <w:sz w:val="22"/>
                <w:szCs w:val="22"/>
              </w:rPr>
              <m:t>r</m:t>
            </m:r>
          </m:sub>
        </m:sSub>
        <m:r>
          <w:rPr>
            <w:rFonts w:ascii="Cambria Math" w:hAnsi="Cambria Math"/>
            <w:sz w:val="22"/>
            <w:szCs w:val="22"/>
          </w:rPr>
          <m:t>=</m:t>
        </m:r>
        <m:f>
          <m:fPr>
            <m:type m:val="bar"/>
          </m:fPr>
          <m:num>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num>
          <m:den>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den>
        </m:f>
        <m:r>
          <w:rPr>
            <w:rFonts w:ascii="Cambria Math" w:hAnsi="Cambria Math"/>
            <w:sz w:val="22"/>
            <w:szCs w:val="22"/>
          </w:rPr>
          <m:t>∈[0,1],</m:t>
        </m:r>
        <m:sSub>
          <m:e>
            <m:r>
              <w:rPr>
                <w:rFonts w:ascii="Cambria Math" w:hAnsi="Cambria Math"/>
                <w:sz w:val="22"/>
                <w:szCs w:val="22"/>
              </w:rPr>
              <m:t>μ</m:t>
            </m:r>
          </m:e>
          <m:sub>
            <m:r>
              <w:rPr>
                <w:rFonts w:ascii="Cambria Math" w:hAnsi="Cambria Math"/>
                <w:sz w:val="22"/>
                <w:szCs w:val="22"/>
              </w:rPr>
              <m:t>r+1</m:t>
            </m:r>
          </m:sub>
        </m:sSub>
        <m:r>
          <w:rPr>
            <w:rFonts w:ascii="Cambria Math" w:hAnsi="Cambria Math"/>
            <w:sz w:val="22"/>
            <w:szCs w:val="22"/>
          </w:rPr>
          <m:t>=</m:t>
        </m:r>
        <m:r>
          <m:rPr>
            <m:sty m:val="p"/>
          </m:rPr>
          <w:rPr>
            <w:rFonts w:ascii="Cambria Math" w:hAnsi="Cambria Math"/>
            <w:sz w:val="22"/>
            <w:szCs w:val="22"/>
          </w:rPr>
          <m:t>clip</m:t>
        </m:r>
        <m:d>
          <m:dPr>
            <m:sepChr m:val=","/>
          </m:dPr>
          <m:e>
            <m:sSub>
              <m:e>
                <m:r>
                  <w:rPr>
                    <w:rFonts w:ascii="Cambria Math" w:hAnsi="Cambria Math"/>
                    <w:sz w:val="22"/>
                    <w:szCs w:val="22"/>
                  </w:rPr>
                  <m:t>μ</m:t>
                </m:r>
              </m:e>
              <m:sub>
                <m:r>
                  <w:rPr>
                    <w:rFonts w:ascii="Cambria Math" w:hAnsi="Cambria Math"/>
                    <w:sz w:val="22"/>
                    <w:szCs w:val="22"/>
                  </w:rPr>
                  <m:t>0</m:t>
                </m:r>
              </m:sub>
            </m:sSub>
            <m:sSub>
              <m:e>
                <m:r>
                  <w:rPr>
                    <w:rFonts w:ascii="Cambria Math" w:hAnsi="Cambria Math"/>
                    <w:sz w:val="22"/>
                    <w:szCs w:val="22"/>
                  </w:rPr>
                  <m:t>ρ</m:t>
                </m:r>
              </m:e>
              <m:sub>
                <m:r>
                  <w:rPr>
                    <w:rFonts w:ascii="Cambria Math" w:hAnsi="Cambria Math"/>
                    <w:sz w:val="22"/>
                    <w:szCs w:val="22"/>
                  </w:rPr>
                  <m:t>r</m:t>
                </m:r>
              </m:sub>
            </m:sSub>
          </m:e>
          <m:e>
            <m:r>
              <m:rPr>
                <m:sty m:val="p"/>
              </m:rPr>
              <w:rPr>
                <w:rFonts w:ascii="Cambria Math" w:hAnsi="Cambria Math"/>
                <w:sz w:val="22"/>
                <w:szCs w:val="22"/>
              </w:rPr>
              <m:t> </m:t>
            </m:r>
            <m:sSup>
              <m:e>
                <m:r>
                  <w:rPr>
                    <w:rFonts w:ascii="Cambria Math" w:hAnsi="Cambria Math"/>
                    <w:sz w:val="22"/>
                    <w:szCs w:val="22"/>
                  </w:rPr>
                  <m:t>10</m:t>
                </m:r>
              </m:e>
              <m:sup>
                <m:r>
                  <w:rPr>
                    <w:rFonts w:ascii="Cambria Math" w:hAnsi="Cambria Math"/>
                    <w:sz w:val="22"/>
                    <w:szCs w:val="22"/>
                  </w:rPr>
                  <m:t>−4</m:t>
                </m:r>
              </m:sup>
            </m:sSup>
          </m:e>
          <m:e>
            <m:r>
              <m:rPr>
                <m:sty m:val="p"/>
              </m:rPr>
              <w:rPr>
                <w:rFonts w:ascii="Cambria Math" w:hAnsi="Cambria Math"/>
                <w:sz w:val="22"/>
                <w:szCs w:val="22"/>
              </w:rPr>
              <m:t> </m:t>
            </m:r>
            <m:r>
              <w:rPr>
                <w:rFonts w:ascii="Cambria Math" w:hAnsi="Cambria Math"/>
                <w:sz w:val="22"/>
                <w:szCs w:val="22"/>
              </w:rPr>
              <m:t>1</m:t>
            </m:r>
          </m:e>
        </m:d>
      </m:oMath>
      <w:r>
        <w:rPr>
          <w:sz w:val="22"/>
          <w:szCs w:val="22"/>
        </w:rPr>
        <w:tab/>
        <w:t>(S1)</w:t>
      </w:r>
    </w:p>
    <w:p>
      <w:pPr>
        <w:spacing w:after="120" w:line="276" w:lineRule="auto"/>
        <w:jc w:val="both"/>
      </w:pPr>
      <w:r>
        <w:rPr>
          <w:sz w:val="22"/>
          <w:szCs w:val="22"/>
        </w:rPr>
        <w:t xml:space="preserve">The rule never improved on FedAvg. Under the cluster partition it was worse for 75 % of households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d>
          <m:dPr>
            <m:begChr m:val="&lt;"/>
            <m:sepChr m:val=""/>
            <m:endChr m:val=""/>
          </m:dPr>
          <m:e>
            <m:sSup>
              <m:e>
                <m:r>
                  <w:rPr>
                    <w:rFonts w:ascii="Cambria Math" w:hAnsi="Cambria Math"/>
                    <w:sz w:val="22"/>
                    <w:szCs w:val="22"/>
                  </w:rPr>
                  <m:t>10</m:t>
                </m:r>
              </m:e>
              <m:sup>
                <m:r>
                  <w:rPr>
                    <w:rFonts w:ascii="Cambria Math" w:hAnsi="Cambria Math"/>
                    <w:sz w:val="22"/>
                    <w:szCs w:val="22"/>
                  </w:rPr>
                  <m:t>−4</m:t>
                </m:r>
              </m:sup>
            </m:sSup>
          </m:e>
        </m:d>
      </m:oMath>
      <w:r>
        <w:rPr>
          <w:sz w:val="22"/>
          <w:szCs w:val="22"/>
        </w:rPr>
        <w:t xml:space="preserve">). Its signal </w:t>
      </w:r>
      <m:oMath>
        <m:sSub>
          <m:e>
            <m:r>
              <w:rPr>
                <w:rFonts w:ascii="Cambria Math" w:hAnsi="Cambria Math"/>
                <w:sz w:val="22"/>
                <w:szCs w:val="22"/>
              </w:rPr>
              <m:t>ρ</m:t>
            </m:r>
          </m:e>
          <m:sub>
            <m:r>
              <w:rPr>
                <w:rFonts w:ascii="Cambria Math" w:hAnsi="Cambria Math"/>
                <w:sz w:val="22"/>
                <w:szCs w:val="22"/>
              </w:rPr>
              <m:t>r</m:t>
            </m:r>
          </m:sub>
        </m:sSub>
      </m:oMath>
      <w:r>
        <w:rPr>
          <w:sz w:val="22"/>
          <w:szCs w:val="22"/>
        </w:rPr>
        <w:t xml:space="preserve"> ranked partitions by heterogeneity (Spearman +0.51 with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t>
      </w:r>
      <m:oMath>
        <m:r>
          <w:rPr>
            <w:rFonts w:ascii="Cambria Math" w:hAnsi="Cambria Math"/>
            <w:sz w:val="22"/>
            <w:szCs w:val="22"/>
          </w:rPr>
          <m:t>p</m:t>
        </m:r>
      </m:oMath>
      <w:r>
        <w:rPr>
          <w:sz w:val="22"/>
          <w:szCs w:val="22"/>
        </w:rPr>
        <w:t xml:space="preserve"> = 0.0044, </w:t>
      </w:r>
      <m:oMath>
        <m:r>
          <w:rPr>
            <w:rFonts w:ascii="Cambria Math" w:hAnsi="Cambria Math"/>
            <w:sz w:val="22"/>
            <w:szCs w:val="22"/>
          </w:rPr>
          <m:t>n=30</m:t>
        </m:r>
      </m:oMath>
      <w:r>
        <w:rPr>
          <w:sz w:val="22"/>
          <w:szCs w:val="22"/>
        </w:rPr>
        <w:t xml:space="preserve"> runs), but on average it rose from 0.15 in round 1 to 0.96 in the last round, a change about 46 times its spread across partitions. As the shared descent direction shrinks during training, any residual disagreement pushes </w:t>
      </w:r>
      <m:oMath>
        <m:sSub>
          <m:e>
            <m:r>
              <w:rPr>
                <w:rFonts w:ascii="Cambria Math" w:hAnsi="Cambria Math"/>
                <w:sz w:val="22"/>
                <w:szCs w:val="22"/>
              </w:rPr>
              <m:t>ρ</m:t>
            </m:r>
          </m:e>
          <m:sub>
            <m:r>
              <w:rPr>
                <w:rFonts w:ascii="Cambria Math" w:hAnsi="Cambria Math"/>
                <w:sz w:val="22"/>
                <w:szCs w:val="22"/>
              </w:rPr>
              <m:t>r</m:t>
            </m:r>
          </m:sub>
        </m:sSub>
      </m:oMath>
      <w:r>
        <w:rPr>
          <w:sz w:val="22"/>
          <w:szCs w:val="22"/>
        </w:rPr>
        <w:t xml:space="preserve"> towards one, so a coefficient proportional to it grows late in training whatever the data. Table S3 gives all three aggregation rules for each grouping.</w:t>
      </w:r>
    </w:p>
    <w:p>
      <w:pPr>
        <w:keepNext/>
        <w:keepLines/>
        <w:spacing w:before="80" w:after="160"/>
        <w:jc w:val="both"/>
      </w:pPr>
      <w:r>
        <w:rPr>
          <w:b/>
          <w:bCs/>
          <w:sz w:val="19"/>
          <w:szCs w:val="19"/>
        </w:rPr>
        <w:t>Table S3.</w:t>
      </w:r>
      <w:r>
        <w:rPr>
          <w:sz w:val="19"/>
          <w:szCs w:val="19"/>
        </w:rPr>
        <w:t xml:space="preserve"> </w:t>
      </w:r>
      <w:r>
        <w:rPr>
          <w:sz w:val="19"/>
          <w:szCs w:val="19"/>
        </w:rPr>
        <w:t xml:space="preserve">All aggregation rules for each grouping at </w:t>
      </w:r>
      <m:oMath>
        <m:r>
          <w:rPr>
            <w:rFonts w:ascii="Cambria Math" w:hAnsi="Cambria Math"/>
            <w:sz w:val="19"/>
            <w:szCs w:val="19"/>
          </w:rPr>
          <m:t>K=20</m:t>
        </m:r>
      </m:oMath>
      <w:r>
        <w:rPr>
          <w:sz w:val="19"/>
          <w:szCs w:val="19"/>
        </w:rPr>
        <w:t xml:space="preserve"> (three seeds). </w:t>
      </w:r>
      <m:oMath>
        <m:r>
          <w:rPr>
            <w:rFonts w:ascii="Cambria Math" w:hAnsi="Cambria Math"/>
            <w:sz w:val="19"/>
            <w:szCs w:val="19"/>
          </w:rPr>
          <m:t>H</m:t>
        </m:r>
      </m:oMath>
      <w:r>
        <w:rPr>
          <w:sz w:val="19"/>
          <w:szCs w:val="19"/>
        </w:rPr>
        <w:t xml:space="preserve">: composite index of the original submission; </w:t>
      </w:r>
      <m:oMath>
        <m:bar>
          <m:barPr>
            <m:pos m:val="top"/>
          </m:barPr>
          <m:e>
            <m:r>
              <w:rPr>
                <w:rFonts w:ascii="Cambria Math" w:hAnsi="Cambria Math"/>
                <w:sz w:val="19"/>
                <w:szCs w:val="19"/>
              </w:rPr>
              <m:t>ρ</m:t>
            </m:r>
          </m:e>
        </m:bar>
      </m:oMath>
      <w:r>
        <w:rPr>
          <w:sz w:val="19"/>
          <w:szCs w:val="19"/>
        </w:rPr>
        <w:t xml:space="preserve">: mean update disagreement.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10"/>
        <w:gridCol w:w="1320"/>
        <w:gridCol w:w="770"/>
        <w:gridCol w:w="880"/>
        <w:gridCol w:w="770"/>
        <w:gridCol w:w="1761"/>
        <w:gridCol w:w="2315"/>
      </w:tblGrid>
      <w:tr>
        <w:trPr>
          <w:tblHeader/>
          <w:cantSplit/>
        </w:trPr>
        <w:tc>
          <w:tcPr>
            <w:tcW w:w="1210"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Partition</w:t>
            </w:r>
          </w:p>
        </w:tc>
        <w:tc>
          <w:tcPr>
            <w:tcW w:w="1320"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Method</w:t>
            </w:r>
          </w:p>
        </w:tc>
        <w:tc>
          <w:tcPr>
            <w:tcW w:w="77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p>
        </w:tc>
        <w:tc>
          <w:tcPr>
            <w:tcW w:w="88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p>
        </w:tc>
        <w:tc>
          <w:tcPr>
            <w:tcW w:w="770"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ρ</w:t>
            </w:r>
            <w:r>
              <w:rPr>
                <w:b/>
                <w:bCs/>
                <w:color w:val="FFFFFF"/>
                <w:sz w:val="16"/>
                <w:szCs w:val="16"/>
              </w:rPr>
              <w:t xml:space="preserve">̄</w:t>
            </w:r>
          </w:p>
        </w:tc>
        <w:tc>
          <w:tcPr>
            <w:tcW w:w="176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231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to central (%)</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0.0189</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0.874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0.0004</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0.863</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0.0006</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+5.9</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0.243</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0.0153</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0.0001</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+5.9</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0.243</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0.0153</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0.0863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+6.5</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0.246</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0.871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+6.0</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0.253</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0.858</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+5.3</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0.845</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0.0855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+5.4</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0.822</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0.0009</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+6.0</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0.262</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0.0125</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0.868</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0.0851 </w:t>
            </w:r>
            <w:r>
              <w:rPr>
                <w:sz w:val="16"/>
                <w:szCs w:val="16"/>
              </w:rPr>
              <w:t xml:space="preserve">±</w:t>
            </w:r>
            <w:r>
              <w:rPr>
                <w:sz w:val="16"/>
                <w:szCs w:val="16"/>
              </w:rPr>
              <w:t xml:space="preserve"> 0.0007</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+5.0</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0.856</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0.0001</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+5.7</w:t>
            </w:r>
          </w:p>
        </w:tc>
      </w:tr>
      <w:tr>
        <w:trPr>
          <w:cantSplit/>
        </w:trPr>
        <w:tc>
          <w:tcPr>
            <w:tcW w:w="1210"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0.841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0.0008</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0.866</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0.0002</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210"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keepNext/>
              <w:spacing w:before="0" w:after="0" w:line="240" w:lineRule="auto"/>
              <w:jc w:val="right"/>
            </w:pPr>
            <w:r>
              <w:rPr>
                <w:sz w:val="16"/>
                <w:szCs w:val="16"/>
              </w:rPr>
              <w:t xml:space="preserve">0.851</w:t>
            </w:r>
          </w:p>
        </w:tc>
        <w:tc>
          <w:tcPr>
            <w:tcW w:w="1761" w:type="dxa"/>
            <w:tcMar>
              <w:top w:w="40" w:type="dxa"/>
              <w:left w:w="80" w:type="dxa"/>
              <w:bottom w:w="40" w:type="dxa"/>
              <w:right w:w="80" w:type="dxa"/>
            </w:tcMar>
          </w:tcPr>
          <w:p>
            <w:pPr>
              <w:keepNext/>
              <w:spacing w:before="0" w:after="0" w:line="240" w:lineRule="auto"/>
              <w:jc w:val="right"/>
            </w:pPr>
            <w:r>
              <w:rPr>
                <w:sz w:val="16"/>
                <w:szCs w:val="16"/>
              </w:rPr>
              <w:t xml:space="preserve">0.0865 </w:t>
            </w:r>
            <w:r>
              <w:rPr>
                <w:sz w:val="16"/>
                <w:szCs w:val="16"/>
              </w:rPr>
              <w:t xml:space="preserve">±</w:t>
            </w:r>
            <w:r>
              <w:rPr>
                <w:sz w:val="16"/>
                <w:szCs w:val="16"/>
              </w:rPr>
              <w:t xml:space="preserve"> 0.0002</w:t>
            </w:r>
          </w:p>
        </w:tc>
        <w:tc>
          <w:tcPr>
            <w:tcW w:w="2315" w:type="dxa"/>
            <w:tcMar>
              <w:top w:w="40" w:type="dxa"/>
              <w:left w:w="80" w:type="dxa"/>
              <w:bottom w:w="40" w:type="dxa"/>
              <w:right w:w="80" w:type="dxa"/>
            </w:tcMar>
          </w:tcPr>
          <w:p>
            <w:pPr>
              <w:keepNext/>
              <w:spacing w:before="0" w:after="0" w:line="240" w:lineRule="auto"/>
              <w:jc w:val="right"/>
            </w:pPr>
            <w:r>
              <w:rPr>
                <w:sz w:val="16"/>
                <w:szCs w:val="16"/>
              </w:rPr>
              <w:t xml:space="preserve">+6.7</w:t>
            </w:r>
          </w:p>
        </w:tc>
      </w:tr>
      <w:tr>
        <w:trPr>
          <w:cantSplit/>
        </w:trPr>
        <w:tc>
          <w:tcPr>
            <w:tcW w:w="1210" w:type="dxa"/>
            <w:tcMar>
              <w:top w:w="40" w:type="dxa"/>
              <w:left w:w="80" w:type="dxa"/>
              <w:bottom w:w="40" w:type="dxa"/>
              <w:right w:w="80" w:type="dxa"/>
            </w:tcMar>
          </w:tcPr>
          <w:p>
            <w:pPr>
              <w:spacing w:before="0" w:after="0" w:line="240" w:lineRule="auto"/>
              <w:jc w:val="left"/>
            </w:pPr>
            <w:r>
              <w:rPr>
                <w:sz w:val="16"/>
                <w:szCs w:val="16"/>
              </w:rPr>
              <w:t xml:space="preserve">cluster</w:t>
            </w:r>
          </w:p>
        </w:tc>
        <w:tc>
          <w:tcPr>
            <w:tcW w:w="1320" w:type="dxa"/>
            <w:tcMar>
              <w:top w:w="40" w:type="dxa"/>
              <w:left w:w="80" w:type="dxa"/>
              <w:bottom w:w="40" w:type="dxa"/>
              <w:right w:w="80" w:type="dxa"/>
            </w:tcMar>
          </w:tcPr>
          <w:p>
            <w:pPr>
              <w:spacing w:before="0" w:after="0" w:line="240" w:lineRule="auto"/>
              <w:jc w:val="left"/>
            </w:pPr>
            <w:r>
              <w:rPr>
                <w:sz w:val="16"/>
                <w:szCs w:val="16"/>
              </w:rPr>
              <w:t xml:space="preserve">FedAvg</w:t>
            </w:r>
          </w:p>
        </w:tc>
        <w:tc>
          <w:tcPr>
            <w:tcW w:w="770" w:type="dxa"/>
            <w:tcMar>
              <w:top w:w="40" w:type="dxa"/>
              <w:left w:w="80" w:type="dxa"/>
              <w:bottom w:w="40" w:type="dxa"/>
              <w:right w:w="80" w:type="dxa"/>
            </w:tcMar>
          </w:tcPr>
          <w:p>
            <w:pPr>
              <w:spacing w:before="0" w:after="0" w:line="240" w:lineRule="auto"/>
              <w:jc w:val="right"/>
            </w:pPr>
            <w:r>
              <w:rPr>
                <w:sz w:val="16"/>
                <w:szCs w:val="16"/>
              </w:rPr>
              <w:t xml:space="preserve">0.381</w:t>
            </w:r>
          </w:p>
        </w:tc>
        <w:tc>
          <w:tcPr>
            <w:tcW w:w="880" w:type="dxa"/>
            <w:tcMar>
              <w:top w:w="40" w:type="dxa"/>
              <w:left w:w="80" w:type="dxa"/>
              <w:bottom w:w="40" w:type="dxa"/>
              <w:right w:w="80" w:type="dxa"/>
            </w:tcMar>
          </w:tcPr>
          <w:p>
            <w:pPr>
              <w:spacing w:before="0" w:after="0" w:line="240" w:lineRule="auto"/>
              <w:jc w:val="right"/>
            </w:pPr>
            <w:r>
              <w:rPr>
                <w:sz w:val="16"/>
                <w:szCs w:val="16"/>
              </w:rPr>
              <w:t xml:space="preserve">0.0202</w:t>
            </w:r>
          </w:p>
        </w:tc>
        <w:tc>
          <w:tcPr>
            <w:tcW w:w="770" w:type="dxa"/>
            <w:tcMar>
              <w:top w:w="40" w:type="dxa"/>
              <w:left w:w="80" w:type="dxa"/>
              <w:bottom w:w="40" w:type="dxa"/>
              <w:right w:w="80" w:type="dxa"/>
            </w:tcMar>
          </w:tcPr>
          <w:p>
            <w:pPr>
              <w:spacing w:before="0" w:after="0" w:line="240" w:lineRule="auto"/>
              <w:jc w:val="right"/>
            </w:pPr>
            <w:r>
              <w:rPr>
                <w:sz w:val="16"/>
                <w:szCs w:val="16"/>
              </w:rPr>
              <w:t xml:space="preserve">0.876</w:t>
            </w:r>
          </w:p>
        </w:tc>
        <w:tc>
          <w:tcPr>
            <w:tcW w:w="1761" w:type="dxa"/>
            <w:tcMar>
              <w:top w:w="40" w:type="dxa"/>
              <w:left w:w="80" w:type="dxa"/>
              <w:bottom w:w="40" w:type="dxa"/>
              <w:right w:w="80" w:type="dxa"/>
            </w:tcMar>
          </w:tcPr>
          <w:p>
            <w:pPr>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2315" w:type="dxa"/>
            <w:tcMar>
              <w:top w:w="40" w:type="dxa"/>
              <w:left w:w="80" w:type="dxa"/>
              <w:bottom w:w="40" w:type="dxa"/>
              <w:right w:w="80" w:type="dxa"/>
            </w:tcMar>
          </w:tcPr>
          <w:p>
            <w:pPr>
              <w:spacing w:before="0" w:after="0" w:line="240" w:lineRule="auto"/>
              <w:jc w:val="right"/>
            </w:pPr>
            <w:r>
              <w:rPr>
                <w:sz w:val="16"/>
                <w:szCs w:val="16"/>
              </w:rPr>
              <w:t xml:space="preserve">+5.7</w:t>
            </w:r>
          </w:p>
        </w:tc>
      </w:tr>
    </w:tbl>
    <w:p>
      <w:pPr>
        <w:spacing w:after="120"/>
      </w:pPr>
    </w:p>
    <w:p>
      <w:pPr>
        <w:pStyle w:val="2"/>
        <w:keepNext/>
        <w:spacing w:before="320" w:after="120"/>
      </w:pPr>
      <w:r>
        <w:rPr>
          <w:b/>
          <w:bCs/>
          <w:color w:val="1F3864"/>
          <w:sz w:val="26"/>
          <w:szCs w:val="26"/>
        </w:rPr>
        <w:t xml:space="preserve">S4. Proximal coefficient grid</w:t>
      </w:r>
    </w:p>
    <w:p>
      <w:pPr>
        <w:spacing w:after="120" w:line="276" w:lineRule="auto"/>
        <w:jc w:val="both"/>
      </w:pPr>
      <w:r>
        <w:rPr>
          <w:sz w:val="22"/>
          <w:szCs w:val="22"/>
        </w:rPr>
        <w:t xml:space="preserve">Table S4 gives the best validation MAE for each coefficient (cluster partition, seed 42). The row </w:t>
      </w:r>
      <m:oMath>
        <m:r>
          <w:rPr>
            <w:rFonts w:ascii="Cambria Math" w:hAnsi="Cambria Math"/>
            <w:sz w:val="22"/>
            <w:szCs w:val="22"/>
          </w:rPr>
          <m:t>μ=0</m:t>
        </m:r>
      </m:oMath>
      <w:r>
        <w:rPr>
          <w:sz w:val="22"/>
          <w:szCs w:val="22"/>
        </w:rPr>
        <w:t xml:space="preserve"> is plain FedAvg.</w:t>
      </w:r>
    </w:p>
    <w:p>
      <w:pPr>
        <w:keepNext/>
        <w:keepLines/>
        <w:spacing w:before="80" w:after="160"/>
        <w:jc w:val="both"/>
      </w:pPr>
      <w:r>
        <w:rPr>
          <w:b/>
          <w:bCs/>
          <w:sz w:val="19"/>
          <w:szCs w:val="19"/>
        </w:rPr>
        <w:t>Table S4.</w:t>
      </w:r>
      <w:r>
        <w:rPr>
          <w:sz w:val="19"/>
          <w:szCs w:val="19"/>
        </w:rPr>
        <w:t xml:space="preserve"> </w:t>
      </w:r>
      <w:r>
        <w:rPr>
          <w:sz w:val="19"/>
          <w:szCs w:val="19"/>
        </w:rPr>
        <w:t xml:space="preserve">Best-round validation MAE (kWh) over the proximal coefficient grid.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291"/>
        <w:gridCol w:w="1331"/>
        <w:gridCol w:w="3404"/>
      </w:tblGrid>
      <w:tr>
        <w:trPr>
          <w:tblHeader/>
          <w:cantSplit/>
        </w:trPr>
        <w:tc>
          <w:tcPr>
            <w:tcW w:w="4291" w:type="dxa"/>
            <w:shd w:val="clear" w:color="auto" w:fill="1F3864"/>
            <w:tcMar>
              <w:top w:w="40" w:type="dxa"/>
              <w:left w:w="80" w:type="dxa"/>
              <w:bottom w:w="40" w:type="dxa"/>
              <w:right w:w="80" w:type="dxa"/>
            </w:tcMar>
          </w:tcPr>
          <w:p>
            <w:pPr>
              <w:keepNext/>
              <w:spacing w:before="0" w:after="0" w:line="240" w:lineRule="auto"/>
              <w:jc w:val="left"/>
            </w:pPr>
            <w:r>
              <w:rPr>
                <w:b/>
                <w:bCs/>
                <w:i/>
                <w:iCs/>
                <w:color w:val="FFFFFF"/>
                <w:sz w:val="19"/>
                <w:szCs w:val="19"/>
              </w:rPr>
              <w:t xml:space="preserve">μ</w:t>
            </w:r>
            <w:r>
              <w:rPr>
                <w:b/>
                <w:bCs/>
                <w:color w:val="FFFFFF"/>
                <w:sz w:val="19"/>
                <w:szCs w:val="19"/>
              </w:rPr>
              <w:t xml:space="preserve"> (FedProx) or </w:t>
            </w:r>
            <w:r>
              <w:rPr>
                <w:b/>
                <w:bCs/>
                <w:i/>
                <w:iCs/>
                <w:color w:val="FFFFFF"/>
                <w:sz w:val="19"/>
                <w:szCs w:val="19"/>
              </w:rPr>
              <w:t xml:space="preserve">μ</w:t>
            </w:r>
            <w:r>
              <w:rPr>
                <w:b/>
                <w:bCs/>
                <w:color w:val="FFFFFF"/>
                <w:sz w:val="19"/>
                <w:szCs w:val="19"/>
                <w:vertAlign w:val="subscript"/>
              </w:rPr>
              <w:t xml:space="preserve">0</w:t>
            </w:r>
            <w:r>
              <w:rPr>
                <w:b/>
                <w:bCs/>
                <w:color w:val="FFFFFF"/>
                <w:sz w:val="19"/>
                <w:szCs w:val="19"/>
              </w:rPr>
              <w:t xml:space="preserve"> (adaptive)</w:t>
            </w:r>
          </w:p>
        </w:tc>
        <w:tc>
          <w:tcPr>
            <w:tcW w:w="133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FedProx</w:t>
            </w:r>
          </w:p>
        </w:tc>
        <w:tc>
          <w:tcPr>
            <w:tcW w:w="340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Adaptive (HA-FedProx)</w:t>
            </w:r>
          </w:p>
        </w:tc>
      </w:tr>
      <w:tr>
        <w:trPr>
          <w:cantSplit/>
        </w:trPr>
        <w:tc>
          <w:tcPr>
            <w:tcW w:w="4291" w:type="dxa"/>
            <w:tcMar>
              <w:top w:w="40" w:type="dxa"/>
              <w:left w:w="80" w:type="dxa"/>
              <w:bottom w:w="40" w:type="dxa"/>
              <w:right w:w="80" w:type="dxa"/>
            </w:tcMar>
          </w:tcPr>
          <w:p>
            <w:pPr>
              <w:keepNext/>
              <w:spacing w:before="0" w:after="0" w:line="240" w:lineRule="auto"/>
              <w:jc w:val="left"/>
            </w:pPr>
            <w:r>
              <w:rPr>
                <w:sz w:val="19"/>
                <w:szCs w:val="19"/>
              </w:rPr>
              <w:t xml:space="preserve">0</w:t>
            </w:r>
          </w:p>
        </w:tc>
        <w:tc>
          <w:tcPr>
            <w:tcW w:w="1331" w:type="dxa"/>
            <w:tcMar>
              <w:top w:w="40" w:type="dxa"/>
              <w:left w:w="80" w:type="dxa"/>
              <w:bottom w:w="40" w:type="dxa"/>
              <w:right w:w="80" w:type="dxa"/>
            </w:tcMar>
          </w:tcPr>
          <w:p>
            <w:pPr>
              <w:keepNext/>
              <w:spacing w:before="0" w:after="0" w:line="240" w:lineRule="auto"/>
              <w:jc w:val="right"/>
            </w:pPr>
            <w:r>
              <w:rPr>
                <w:sz w:val="19"/>
                <w:szCs w:val="19"/>
              </w:rPr>
              <w:t xml:space="preserve">0.07238</w:t>
            </w:r>
          </w:p>
        </w:tc>
        <w:tc>
          <w:tcPr>
            <w:tcW w:w="3404" w:type="dxa"/>
            <w:tcMar>
              <w:top w:w="40" w:type="dxa"/>
              <w:left w:w="80" w:type="dxa"/>
              <w:bottom w:w="40" w:type="dxa"/>
              <w:right w:w="80" w:type="dxa"/>
            </w:tcMar>
          </w:tcPr>
          <w:p>
            <w:pPr>
              <w:keepNext/>
              <w:spacing w:before="0" w:after="0" w:line="240" w:lineRule="auto"/>
              <w:jc w:val="right"/>
            </w:pPr>
            <w:r>
              <w:rPr>
                <w:sz w:val="19"/>
                <w:szCs w:val="19"/>
              </w:rPr>
              <w:t xml:space="preserve">0.07238</w:t>
            </w:r>
          </w:p>
        </w:tc>
      </w:tr>
      <w:tr>
        <w:trPr>
          <w:cantSplit/>
        </w:trPr>
        <w:tc>
          <w:tcPr>
            <w:tcW w:w="4291" w:type="dxa"/>
            <w:tcMar>
              <w:top w:w="40" w:type="dxa"/>
              <w:left w:w="80" w:type="dxa"/>
              <w:bottom w:w="40" w:type="dxa"/>
              <w:right w:w="80" w:type="dxa"/>
            </w:tcMar>
          </w:tcPr>
          <w:p>
            <w:pPr>
              <w:keepNext/>
              <w:spacing w:before="0" w:after="0" w:line="240" w:lineRule="auto"/>
              <w:jc w:val="left"/>
            </w:pPr>
            <w:r>
              <w:rPr>
                <w:sz w:val="19"/>
                <w:szCs w:val="19"/>
              </w:rPr>
              <w:t xml:space="preserve">0.0001</w:t>
            </w:r>
          </w:p>
        </w:tc>
        <w:tc>
          <w:tcPr>
            <w:tcW w:w="1331" w:type="dxa"/>
            <w:tcMar>
              <w:top w:w="40" w:type="dxa"/>
              <w:left w:w="80" w:type="dxa"/>
              <w:bottom w:w="40" w:type="dxa"/>
              <w:right w:w="80" w:type="dxa"/>
            </w:tcMar>
          </w:tcPr>
          <w:p>
            <w:pPr>
              <w:keepNext/>
              <w:spacing w:before="0" w:after="0" w:line="240" w:lineRule="auto"/>
              <w:jc w:val="right"/>
            </w:pPr>
            <w:r>
              <w:rPr>
                <w:sz w:val="19"/>
                <w:szCs w:val="19"/>
              </w:rPr>
              <w:t xml:space="preserve">0.07260</w:t>
            </w:r>
          </w:p>
        </w:tc>
        <w:tc>
          <w:tcPr>
            <w:tcW w:w="3404" w:type="dxa"/>
            <w:tcMar>
              <w:top w:w="40" w:type="dxa"/>
              <w:left w:w="80" w:type="dxa"/>
              <w:bottom w:w="40" w:type="dxa"/>
              <w:right w:w="80" w:type="dxa"/>
            </w:tcMar>
          </w:tcPr>
          <w:p>
            <w:pPr>
              <w:keepNext/>
              <w:spacing w:before="0" w:after="0" w:line="240" w:lineRule="auto"/>
              <w:jc w:val="right"/>
            </w:pPr>
            <w:r>
              <w:rPr>
                <w:sz w:val="19"/>
                <w:szCs w:val="19"/>
              </w:rPr>
              <w:t xml:space="preserve">0.07260</w:t>
            </w:r>
          </w:p>
        </w:tc>
      </w:tr>
      <w:tr>
        <w:trPr>
          <w:cantSplit/>
        </w:trPr>
        <w:tc>
          <w:tcPr>
            <w:tcW w:w="4291" w:type="dxa"/>
            <w:tcMar>
              <w:top w:w="40" w:type="dxa"/>
              <w:left w:w="80" w:type="dxa"/>
              <w:bottom w:w="40" w:type="dxa"/>
              <w:right w:w="80" w:type="dxa"/>
            </w:tcMar>
          </w:tcPr>
          <w:p>
            <w:pPr>
              <w:keepNext/>
              <w:spacing w:before="0" w:after="0" w:line="240" w:lineRule="auto"/>
              <w:jc w:val="left"/>
            </w:pPr>
            <w:r>
              <w:rPr>
                <w:sz w:val="19"/>
                <w:szCs w:val="19"/>
              </w:rPr>
              <w:t xml:space="preserve">0.001</w:t>
            </w:r>
          </w:p>
        </w:tc>
        <w:tc>
          <w:tcPr>
            <w:tcW w:w="1331" w:type="dxa"/>
            <w:tcMar>
              <w:top w:w="40" w:type="dxa"/>
              <w:left w:w="80" w:type="dxa"/>
              <w:bottom w:w="40" w:type="dxa"/>
              <w:right w:w="80" w:type="dxa"/>
            </w:tcMar>
          </w:tcPr>
          <w:p>
            <w:pPr>
              <w:keepNext/>
              <w:spacing w:before="0" w:after="0" w:line="240" w:lineRule="auto"/>
              <w:jc w:val="right"/>
            </w:pPr>
            <w:r>
              <w:rPr>
                <w:sz w:val="19"/>
                <w:szCs w:val="19"/>
              </w:rPr>
              <w:t xml:space="preserve">0.07259</w:t>
            </w:r>
          </w:p>
        </w:tc>
        <w:tc>
          <w:tcPr>
            <w:tcW w:w="3404" w:type="dxa"/>
            <w:tcMar>
              <w:top w:w="40" w:type="dxa"/>
              <w:left w:w="80" w:type="dxa"/>
              <w:bottom w:w="40" w:type="dxa"/>
              <w:right w:w="80" w:type="dxa"/>
            </w:tcMar>
          </w:tcPr>
          <w:p>
            <w:pPr>
              <w:keepNext/>
              <w:spacing w:before="0" w:after="0" w:line="240" w:lineRule="auto"/>
              <w:jc w:val="right"/>
            </w:pPr>
            <w:r>
              <w:rPr>
                <w:sz w:val="19"/>
                <w:szCs w:val="19"/>
              </w:rPr>
              <w:t xml:space="preserve">0.07268</w:t>
            </w:r>
          </w:p>
        </w:tc>
      </w:tr>
      <w:tr>
        <w:trPr>
          <w:cantSplit/>
        </w:trPr>
        <w:tc>
          <w:tcPr>
            <w:tcW w:w="4291" w:type="dxa"/>
            <w:tcMar>
              <w:top w:w="40" w:type="dxa"/>
              <w:left w:w="80" w:type="dxa"/>
              <w:bottom w:w="40" w:type="dxa"/>
              <w:right w:w="80" w:type="dxa"/>
            </w:tcMar>
          </w:tcPr>
          <w:p>
            <w:pPr>
              <w:keepNext/>
              <w:spacing w:before="0" w:after="0" w:line="240" w:lineRule="auto"/>
              <w:jc w:val="left"/>
            </w:pPr>
            <w:r>
              <w:rPr>
                <w:sz w:val="19"/>
                <w:szCs w:val="19"/>
              </w:rPr>
              <w:t xml:space="preserve">0.01</w:t>
            </w:r>
          </w:p>
        </w:tc>
        <w:tc>
          <w:tcPr>
            <w:tcW w:w="1331" w:type="dxa"/>
            <w:tcMar>
              <w:top w:w="40" w:type="dxa"/>
              <w:left w:w="80" w:type="dxa"/>
              <w:bottom w:w="40" w:type="dxa"/>
              <w:right w:w="80" w:type="dxa"/>
            </w:tcMar>
          </w:tcPr>
          <w:p>
            <w:pPr>
              <w:keepNext/>
              <w:spacing w:before="0" w:after="0" w:line="240" w:lineRule="auto"/>
              <w:jc w:val="right"/>
            </w:pPr>
            <w:r>
              <w:rPr>
                <w:sz w:val="19"/>
                <w:szCs w:val="19"/>
              </w:rPr>
              <w:t xml:space="preserve">0.07320</w:t>
            </w:r>
          </w:p>
        </w:tc>
        <w:tc>
          <w:tcPr>
            <w:tcW w:w="3404" w:type="dxa"/>
            <w:tcMar>
              <w:top w:w="40" w:type="dxa"/>
              <w:left w:w="80" w:type="dxa"/>
              <w:bottom w:w="40" w:type="dxa"/>
              <w:right w:w="80" w:type="dxa"/>
            </w:tcMar>
          </w:tcPr>
          <w:p>
            <w:pPr>
              <w:keepNext/>
              <w:spacing w:before="0" w:after="0" w:line="240" w:lineRule="auto"/>
              <w:jc w:val="right"/>
            </w:pPr>
            <w:r>
              <w:rPr>
                <w:sz w:val="19"/>
                <w:szCs w:val="19"/>
              </w:rPr>
              <w:t xml:space="preserve">0.07332</w:t>
            </w:r>
          </w:p>
        </w:tc>
      </w:tr>
      <w:tr>
        <w:trPr>
          <w:cantSplit/>
        </w:trPr>
        <w:tc>
          <w:tcPr>
            <w:tcW w:w="4291" w:type="dxa"/>
            <w:tcMar>
              <w:top w:w="40" w:type="dxa"/>
              <w:left w:w="80" w:type="dxa"/>
              <w:bottom w:w="40" w:type="dxa"/>
              <w:right w:w="80" w:type="dxa"/>
            </w:tcMar>
          </w:tcPr>
          <w:p>
            <w:pPr>
              <w:keepNext/>
              <w:spacing w:before="0" w:after="0" w:line="240" w:lineRule="auto"/>
              <w:jc w:val="left"/>
            </w:pPr>
            <w:r>
              <w:rPr>
                <w:sz w:val="19"/>
                <w:szCs w:val="19"/>
              </w:rPr>
              <w:t xml:space="preserve">0.1</w:t>
            </w:r>
          </w:p>
        </w:tc>
        <w:tc>
          <w:tcPr>
            <w:tcW w:w="1331" w:type="dxa"/>
            <w:tcMar>
              <w:top w:w="40" w:type="dxa"/>
              <w:left w:w="80" w:type="dxa"/>
              <w:bottom w:w="40" w:type="dxa"/>
              <w:right w:w="80" w:type="dxa"/>
            </w:tcMar>
          </w:tcPr>
          <w:p>
            <w:pPr>
              <w:keepNext/>
              <w:spacing w:before="0" w:after="0" w:line="240" w:lineRule="auto"/>
              <w:jc w:val="right"/>
            </w:pPr>
            <w:r>
              <w:rPr>
                <w:sz w:val="19"/>
                <w:szCs w:val="19"/>
              </w:rPr>
              <w:t xml:space="preserve">0.07666</w:t>
            </w:r>
          </w:p>
        </w:tc>
        <w:tc>
          <w:tcPr>
            <w:tcW w:w="3404" w:type="dxa"/>
            <w:tcMar>
              <w:top w:w="40" w:type="dxa"/>
              <w:left w:w="80" w:type="dxa"/>
              <w:bottom w:w="40" w:type="dxa"/>
              <w:right w:w="80" w:type="dxa"/>
            </w:tcMar>
          </w:tcPr>
          <w:p>
            <w:pPr>
              <w:keepNext/>
              <w:spacing w:before="0" w:after="0" w:line="240" w:lineRule="auto"/>
              <w:jc w:val="right"/>
            </w:pPr>
            <w:r>
              <w:rPr>
                <w:sz w:val="19"/>
                <w:szCs w:val="19"/>
              </w:rPr>
              <w:t xml:space="preserve">0.07682</w:t>
            </w:r>
          </w:p>
        </w:tc>
      </w:tr>
      <w:tr>
        <w:trPr>
          <w:cantSplit/>
        </w:trPr>
        <w:tc>
          <w:tcPr>
            <w:tcW w:w="4291" w:type="dxa"/>
            <w:tcMar>
              <w:top w:w="40" w:type="dxa"/>
              <w:left w:w="80" w:type="dxa"/>
              <w:bottom w:w="40" w:type="dxa"/>
              <w:right w:w="80" w:type="dxa"/>
            </w:tcMar>
          </w:tcPr>
          <w:p>
            <w:pPr>
              <w:spacing w:before="0" w:after="0" w:line="240" w:lineRule="auto"/>
              <w:jc w:val="left"/>
            </w:pPr>
            <w:r>
              <w:rPr>
                <w:sz w:val="19"/>
                <w:szCs w:val="19"/>
              </w:rPr>
              <w:t xml:space="preserve">1</w:t>
            </w:r>
          </w:p>
        </w:tc>
        <w:tc>
          <w:tcPr>
            <w:tcW w:w="1331" w:type="dxa"/>
            <w:tcMar>
              <w:top w:w="40" w:type="dxa"/>
              <w:left w:w="80" w:type="dxa"/>
              <w:bottom w:w="40" w:type="dxa"/>
              <w:right w:w="80" w:type="dxa"/>
            </w:tcMar>
          </w:tcPr>
          <w:p>
            <w:pPr>
              <w:spacing w:before="0" w:after="0" w:line="240" w:lineRule="auto"/>
              <w:jc w:val="right"/>
            </w:pPr>
            <w:r>
              <w:rPr>
                <w:sz w:val="19"/>
                <w:szCs w:val="19"/>
              </w:rPr>
              <w:t xml:space="preserve">–</w:t>
            </w:r>
          </w:p>
        </w:tc>
        <w:tc>
          <w:tcPr>
            <w:tcW w:w="3404" w:type="dxa"/>
            <w:tcMar>
              <w:top w:w="40" w:type="dxa"/>
              <w:left w:w="80" w:type="dxa"/>
              <w:bottom w:w="40" w:type="dxa"/>
              <w:right w:w="80" w:type="dxa"/>
            </w:tcMar>
          </w:tcPr>
          <w:p>
            <w:pPr>
              <w:spacing w:before="0" w:after="0" w:line="240" w:lineRule="auto"/>
              <w:jc w:val="right"/>
            </w:pPr>
            <w:r>
              <w:rPr>
                <w:sz w:val="19"/>
                <w:szCs w:val="19"/>
              </w:rPr>
              <w:t xml:space="preserve">0.07803</w:t>
            </w:r>
          </w:p>
        </w:tc>
      </w:tr>
    </w:tbl>
    <w:p>
      <w:pPr>
        <w:spacing w:after="120"/>
      </w:pPr>
    </w:p>
    <w:p>
      <w:pPr>
        <w:pStyle w:val="2"/>
        <w:keepNext/>
        <w:spacing w:before="320" w:after="120"/>
      </w:pPr>
      <w:r>
        <w:rPr>
          <w:b/>
          <w:bCs/>
          <w:color w:val="1F3864"/>
          <w:sz w:val="26"/>
          <w:szCs w:val="26"/>
        </w:rPr>
        <w:t xml:space="preserve">S5. Additional cohorts</w:t>
      </w:r>
    </w:p>
    <w:p>
      <w:pPr>
        <w:spacing w:after="120" w:line="276" w:lineRule="auto"/>
        <w:jc w:val="both"/>
      </w:pPr>
      <w:r>
        <w:rPr>
          <w:sz w:val="22"/>
          <w:szCs w:val="22"/>
        </w:rPr>
        <w:t xml:space="preserve">Two further cohorts of 100 homes were drawn with the same eligibility rules and stratification but different selection seeds (43 and 44); they share three or four homes with the main cohort. Each arm ran with two seeds.</w:t>
      </w:r>
    </w:p>
    <w:p>
      <w:pPr>
        <w:keepNext/>
        <w:keepLines/>
        <w:spacing w:before="80" w:after="160"/>
        <w:jc w:val="both"/>
      </w:pPr>
      <w:r>
        <w:rPr>
          <w:b/>
          <w:bCs/>
          <w:sz w:val="19"/>
          <w:szCs w:val="19"/>
        </w:rPr>
        <w:t>Table S5.</w:t>
      </w:r>
      <w:r>
        <w:rPr>
          <w:sz w:val="19"/>
          <w:szCs w:val="19"/>
        </w:rPr>
        <w:t xml:space="preserve"> </w:t>
      </w:r>
      <w:r>
        <w:rPr>
          <w:sz w:val="19"/>
          <w:szCs w:val="19"/>
        </w:rPr>
        <w:t xml:space="preserve">Test MAE (kWh) of the main arms on three cohorts, and the FedAvg gap to centralised training at </w:t>
      </w:r>
      <m:oMath>
        <m:r>
          <w:rPr>
            <w:rFonts w:ascii="Cambria Math" w:hAnsi="Cambria Math"/>
            <w:sz w:val="19"/>
            <w:szCs w:val="19"/>
          </w:rPr>
          <m:t>K=1</m:t>
        </m:r>
      </m:oMath>
      <w:r>
        <w:rPr>
          <w:sz w:val="19"/>
          <w:szCs w:val="19"/>
        </w:rPr>
        <w:t xml:space="preserve">, 5, 20 and 100.</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46"/>
        <w:gridCol w:w="931"/>
        <w:gridCol w:w="859"/>
        <w:gridCol w:w="931"/>
        <w:gridCol w:w="931"/>
        <w:gridCol w:w="1002"/>
        <w:gridCol w:w="1074"/>
        <w:gridCol w:w="2152"/>
      </w:tblGrid>
      <w:tr>
        <w:trPr>
          <w:tblHeader/>
          <w:cantSplit/>
        </w:trPr>
        <w:tc>
          <w:tcPr>
            <w:tcW w:w="1146"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Cohort</w:t>
            </w:r>
          </w:p>
        </w:tc>
        <w:tc>
          <w:tcPr>
            <w:tcW w:w="93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Centralised</w:t>
            </w:r>
          </w:p>
        </w:tc>
        <w:tc>
          <w:tcPr>
            <w:tcW w:w="85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Local-only</w:t>
            </w:r>
          </w:p>
        </w:tc>
        <w:tc>
          <w:tcPr>
            <w:tcW w:w="93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FedAvg, K=1</w:t>
            </w:r>
          </w:p>
        </w:tc>
        <w:tc>
          <w:tcPr>
            <w:tcW w:w="93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FedAvg, K=5</w:t>
            </w:r>
          </w:p>
        </w:tc>
        <w:tc>
          <w:tcPr>
            <w:tcW w:w="10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FedAvg, K=20</w:t>
            </w:r>
          </w:p>
        </w:tc>
        <w:tc>
          <w:tcPr>
            <w:tcW w:w="107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FedAvg, K=100</w:t>
            </w:r>
          </w:p>
        </w:tc>
        <w:tc>
          <w:tcPr>
            <w:tcW w:w="2152"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FedAvg gap, K=1/5/20/100 (%)</w:t>
            </w:r>
          </w:p>
        </w:tc>
      </w:tr>
      <w:tr>
        <w:trPr>
          <w:cantSplit/>
        </w:trPr>
        <w:tc>
          <w:tcPr>
            <w:tcW w:w="1146" w:type="dxa"/>
            <w:tcMar>
              <w:top w:w="40" w:type="dxa"/>
              <w:left w:w="80" w:type="dxa"/>
              <w:bottom w:w="40" w:type="dxa"/>
              <w:right w:w="80" w:type="dxa"/>
            </w:tcMar>
          </w:tcPr>
          <w:p>
            <w:pPr>
              <w:keepNext/>
              <w:spacing w:before="0" w:after="0" w:line="240" w:lineRule="auto"/>
              <w:jc w:val="left"/>
            </w:pPr>
            <w:r>
              <w:rPr>
                <w:sz w:val="16"/>
                <w:szCs w:val="16"/>
              </w:rPr>
              <w:t xml:space="preserve">main (seed 42)</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0.0812</w:t>
            </w:r>
          </w:p>
        </w:tc>
        <w:tc>
          <w:tcPr>
            <w:tcW w:w="859" w:type="dxa"/>
            <w:tcMar>
              <w:top w:w="40" w:type="dxa"/>
              <w:left w:w="80" w:type="dxa"/>
              <w:bottom w:w="40" w:type="dxa"/>
              <w:right w:w="80" w:type="dxa"/>
            </w:tcMar>
          </w:tcPr>
          <w:p>
            <w:pPr>
              <w:keepNext/>
              <w:spacing w:before="0" w:after="0" w:line="240" w:lineRule="auto"/>
              <w:jc w:val="right"/>
            </w:pPr>
            <w:r>
              <w:rPr>
                <w:sz w:val="16"/>
                <w:szCs w:val="16"/>
              </w:rPr>
              <w:t xml:space="preserve">0.0838</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0.0806</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0.0828</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0.0855</w:t>
            </w:r>
          </w:p>
        </w:tc>
        <w:tc>
          <w:tcPr>
            <w:tcW w:w="1074" w:type="dxa"/>
            <w:tcMar>
              <w:top w:w="40" w:type="dxa"/>
              <w:left w:w="80" w:type="dxa"/>
              <w:bottom w:w="40" w:type="dxa"/>
              <w:right w:w="80" w:type="dxa"/>
            </w:tcMar>
          </w:tcPr>
          <w:p>
            <w:pPr>
              <w:keepNext/>
              <w:spacing w:before="0" w:after="0" w:line="240" w:lineRule="auto"/>
              <w:jc w:val="right"/>
            </w:pPr>
            <w:r>
              <w:rPr>
                <w:sz w:val="16"/>
                <w:szCs w:val="16"/>
              </w:rPr>
              <w:t xml:space="preserve">0.0898</w:t>
            </w:r>
          </w:p>
        </w:tc>
        <w:tc>
          <w:tcPr>
            <w:tcW w:w="2152" w:type="dxa"/>
            <w:tcMar>
              <w:top w:w="40" w:type="dxa"/>
              <w:left w:w="80" w:type="dxa"/>
              <w:bottom w:w="40" w:type="dxa"/>
              <w:right w:w="80" w:type="dxa"/>
            </w:tcMar>
          </w:tcPr>
          <w:p>
            <w:pPr>
              <w:keepNext/>
              <w:spacing w:before="0" w:after="0" w:line="240" w:lineRule="auto"/>
              <w:jc w:val="left"/>
            </w:pPr>
            <w:r>
              <w:rPr>
                <w:sz w:val="16"/>
                <w:szCs w:val="16"/>
              </w:rPr>
              <w:t xml:space="preserve">−0.7, +2.0, +5.4, +10.7</w:t>
            </w:r>
          </w:p>
        </w:tc>
      </w:tr>
      <w:tr>
        <w:trPr>
          <w:cantSplit/>
        </w:trPr>
        <w:tc>
          <w:tcPr>
            <w:tcW w:w="1146" w:type="dxa"/>
            <w:tcMar>
              <w:top w:w="40" w:type="dxa"/>
              <w:left w:w="80" w:type="dxa"/>
              <w:bottom w:w="40" w:type="dxa"/>
              <w:right w:w="80" w:type="dxa"/>
            </w:tcMar>
          </w:tcPr>
          <w:p>
            <w:pPr>
              <w:keepNext/>
              <w:spacing w:before="0" w:after="0" w:line="240" w:lineRule="auto"/>
              <w:jc w:val="left"/>
            </w:pPr>
            <w:r>
              <w:rPr>
                <w:sz w:val="16"/>
                <w:szCs w:val="16"/>
              </w:rPr>
              <w:t xml:space="preserve">cohort 43</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0.0847</w:t>
            </w:r>
          </w:p>
        </w:tc>
        <w:tc>
          <w:tcPr>
            <w:tcW w:w="859" w:type="dxa"/>
            <w:tcMar>
              <w:top w:w="40" w:type="dxa"/>
              <w:left w:w="80" w:type="dxa"/>
              <w:bottom w:w="40" w:type="dxa"/>
              <w:right w:w="80" w:type="dxa"/>
            </w:tcMar>
          </w:tcPr>
          <w:p>
            <w:pPr>
              <w:keepNext/>
              <w:spacing w:before="0" w:after="0" w:line="240" w:lineRule="auto"/>
              <w:jc w:val="right"/>
            </w:pPr>
            <w:r>
              <w:rPr>
                <w:sz w:val="16"/>
                <w:szCs w:val="16"/>
              </w:rPr>
              <w:t xml:space="preserve">0.0878</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0.0832</w:t>
            </w:r>
          </w:p>
        </w:tc>
        <w:tc>
          <w:tcPr>
            <w:tcW w:w="931" w:type="dxa"/>
            <w:tcMar>
              <w:top w:w="40" w:type="dxa"/>
              <w:left w:w="80" w:type="dxa"/>
              <w:bottom w:w="40" w:type="dxa"/>
              <w:right w:w="80" w:type="dxa"/>
            </w:tcMar>
          </w:tcPr>
          <w:p>
            <w:pPr>
              <w:keepNext/>
              <w:spacing w:before="0" w:after="0" w:line="240" w:lineRule="auto"/>
              <w:jc w:val="right"/>
            </w:pPr>
            <w:r>
              <w:rPr>
                <w:sz w:val="16"/>
                <w:szCs w:val="16"/>
              </w:rPr>
              <w:t xml:space="preserve">0.0853</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0.0895</w:t>
            </w:r>
          </w:p>
        </w:tc>
        <w:tc>
          <w:tcPr>
            <w:tcW w:w="1074" w:type="dxa"/>
            <w:tcMar>
              <w:top w:w="40" w:type="dxa"/>
              <w:left w:w="80" w:type="dxa"/>
              <w:bottom w:w="40" w:type="dxa"/>
              <w:right w:w="80" w:type="dxa"/>
            </w:tcMar>
          </w:tcPr>
          <w:p>
            <w:pPr>
              <w:keepNext/>
              <w:spacing w:before="0" w:after="0" w:line="240" w:lineRule="auto"/>
              <w:jc w:val="right"/>
            </w:pPr>
            <w:r>
              <w:rPr>
                <w:sz w:val="16"/>
                <w:szCs w:val="16"/>
              </w:rPr>
              <w:t xml:space="preserve">0.0909</w:t>
            </w:r>
          </w:p>
        </w:tc>
        <w:tc>
          <w:tcPr>
            <w:tcW w:w="2152" w:type="dxa"/>
            <w:tcMar>
              <w:top w:w="40" w:type="dxa"/>
              <w:left w:w="80" w:type="dxa"/>
              <w:bottom w:w="40" w:type="dxa"/>
              <w:right w:w="80" w:type="dxa"/>
            </w:tcMar>
          </w:tcPr>
          <w:p>
            <w:pPr>
              <w:keepNext/>
              <w:spacing w:before="0" w:after="0" w:line="240" w:lineRule="auto"/>
              <w:jc w:val="left"/>
            </w:pPr>
            <w:r>
              <w:rPr>
                <w:sz w:val="16"/>
                <w:szCs w:val="16"/>
              </w:rPr>
              <w:t xml:space="preserve">−1.7, +0.8, +5.7, +7.4</w:t>
            </w:r>
          </w:p>
        </w:tc>
      </w:tr>
      <w:tr>
        <w:trPr>
          <w:cantSplit/>
        </w:trPr>
        <w:tc>
          <w:tcPr>
            <w:tcW w:w="1146" w:type="dxa"/>
            <w:tcMar>
              <w:top w:w="40" w:type="dxa"/>
              <w:left w:w="80" w:type="dxa"/>
              <w:bottom w:w="40" w:type="dxa"/>
              <w:right w:w="80" w:type="dxa"/>
            </w:tcMar>
          </w:tcPr>
          <w:p>
            <w:pPr>
              <w:spacing w:before="0" w:after="0" w:line="240" w:lineRule="auto"/>
              <w:jc w:val="left"/>
            </w:pPr>
            <w:r>
              <w:rPr>
                <w:sz w:val="16"/>
                <w:szCs w:val="16"/>
              </w:rPr>
              <w:t xml:space="preserve">cohort 44</w:t>
            </w:r>
          </w:p>
        </w:tc>
        <w:tc>
          <w:tcPr>
            <w:tcW w:w="931" w:type="dxa"/>
            <w:tcMar>
              <w:top w:w="40" w:type="dxa"/>
              <w:left w:w="80" w:type="dxa"/>
              <w:bottom w:w="40" w:type="dxa"/>
              <w:right w:w="80" w:type="dxa"/>
            </w:tcMar>
          </w:tcPr>
          <w:p>
            <w:pPr>
              <w:spacing w:before="0" w:after="0" w:line="240" w:lineRule="auto"/>
              <w:jc w:val="right"/>
            </w:pPr>
            <w:r>
              <w:rPr>
                <w:sz w:val="16"/>
                <w:szCs w:val="16"/>
              </w:rPr>
              <w:t xml:space="preserve">0.0876</w:t>
            </w:r>
          </w:p>
        </w:tc>
        <w:tc>
          <w:tcPr>
            <w:tcW w:w="859" w:type="dxa"/>
            <w:tcMar>
              <w:top w:w="40" w:type="dxa"/>
              <w:left w:w="80" w:type="dxa"/>
              <w:bottom w:w="40" w:type="dxa"/>
              <w:right w:w="80" w:type="dxa"/>
            </w:tcMar>
          </w:tcPr>
          <w:p>
            <w:pPr>
              <w:spacing w:before="0" w:after="0" w:line="240" w:lineRule="auto"/>
              <w:jc w:val="right"/>
            </w:pPr>
            <w:r>
              <w:rPr>
                <w:sz w:val="16"/>
                <w:szCs w:val="16"/>
              </w:rPr>
              <w:t xml:space="preserve">0.0866</w:t>
            </w:r>
          </w:p>
        </w:tc>
        <w:tc>
          <w:tcPr>
            <w:tcW w:w="931" w:type="dxa"/>
            <w:tcMar>
              <w:top w:w="40" w:type="dxa"/>
              <w:left w:w="80" w:type="dxa"/>
              <w:bottom w:w="40" w:type="dxa"/>
              <w:right w:w="80" w:type="dxa"/>
            </w:tcMar>
          </w:tcPr>
          <w:p>
            <w:pPr>
              <w:spacing w:before="0" w:after="0" w:line="240" w:lineRule="auto"/>
              <w:jc w:val="right"/>
            </w:pPr>
            <w:r>
              <w:rPr>
                <w:sz w:val="16"/>
                <w:szCs w:val="16"/>
              </w:rPr>
              <w:t xml:space="preserve">0.0856</w:t>
            </w:r>
          </w:p>
        </w:tc>
        <w:tc>
          <w:tcPr>
            <w:tcW w:w="931" w:type="dxa"/>
            <w:tcMar>
              <w:top w:w="40" w:type="dxa"/>
              <w:left w:w="80" w:type="dxa"/>
              <w:bottom w:w="40" w:type="dxa"/>
              <w:right w:w="80" w:type="dxa"/>
            </w:tcMar>
          </w:tcPr>
          <w:p>
            <w:pPr>
              <w:spacing w:before="0" w:after="0" w:line="240" w:lineRule="auto"/>
              <w:jc w:val="right"/>
            </w:pPr>
            <w:r>
              <w:rPr>
                <w:sz w:val="16"/>
                <w:szCs w:val="16"/>
              </w:rPr>
              <w:t xml:space="preserve">0.0866</w:t>
            </w:r>
          </w:p>
        </w:tc>
        <w:tc>
          <w:tcPr>
            <w:tcW w:w="1002" w:type="dxa"/>
            <w:tcMar>
              <w:top w:w="40" w:type="dxa"/>
              <w:left w:w="80" w:type="dxa"/>
              <w:bottom w:w="40" w:type="dxa"/>
              <w:right w:w="80" w:type="dxa"/>
            </w:tcMar>
          </w:tcPr>
          <w:p>
            <w:pPr>
              <w:spacing w:before="0" w:after="0" w:line="240" w:lineRule="auto"/>
              <w:jc w:val="right"/>
            </w:pPr>
            <w:r>
              <w:rPr>
                <w:sz w:val="16"/>
                <w:szCs w:val="16"/>
              </w:rPr>
              <w:t xml:space="preserve">0.0884</w:t>
            </w:r>
          </w:p>
        </w:tc>
        <w:tc>
          <w:tcPr>
            <w:tcW w:w="1074" w:type="dxa"/>
            <w:tcMar>
              <w:top w:w="40" w:type="dxa"/>
              <w:left w:w="80" w:type="dxa"/>
              <w:bottom w:w="40" w:type="dxa"/>
              <w:right w:w="80" w:type="dxa"/>
            </w:tcMar>
          </w:tcPr>
          <w:p>
            <w:pPr>
              <w:spacing w:before="0" w:after="0" w:line="240" w:lineRule="auto"/>
              <w:jc w:val="right"/>
            </w:pPr>
            <w:r>
              <w:rPr>
                <w:sz w:val="16"/>
                <w:szCs w:val="16"/>
              </w:rPr>
              <w:t xml:space="preserve">0.0910</w:t>
            </w:r>
          </w:p>
        </w:tc>
        <w:tc>
          <w:tcPr>
            <w:tcW w:w="2152" w:type="dxa"/>
            <w:tcMar>
              <w:top w:w="40" w:type="dxa"/>
              <w:left w:w="80" w:type="dxa"/>
              <w:bottom w:w="40" w:type="dxa"/>
              <w:right w:w="80" w:type="dxa"/>
            </w:tcMar>
          </w:tcPr>
          <w:p>
            <w:pPr>
              <w:spacing w:before="0" w:after="0" w:line="240" w:lineRule="auto"/>
              <w:jc w:val="left"/>
            </w:pPr>
            <w:r>
              <w:rPr>
                <w:sz w:val="16"/>
                <w:szCs w:val="16"/>
              </w:rPr>
              <w:t xml:space="preserve">−2.3, −1.2, +0.9, +3.8</w:t>
            </w:r>
          </w:p>
        </w:tc>
      </w:tr>
    </w:tbl>
    <w:p>
      <w:pPr>
        <w:spacing w:after="120"/>
      </w:pPr>
    </w:p>
    <w:p>
      <w:pPr>
        <w:pStyle w:val="2"/>
        <w:keepNext/>
        <w:spacing w:before="320" w:after="120"/>
      </w:pPr>
      <w:r>
        <w:rPr>
          <w:b/>
          <w:bCs/>
          <w:color w:val="1F3864"/>
          <w:sz w:val="26"/>
          <w:szCs w:val="26"/>
        </w:rPr>
        <w:t xml:space="preserve">S6. Error by consumption quintile</w:t>
      </w:r>
    </w:p>
    <w:p>
      <w:pPr>
        <w:spacing w:after="120" w:line="276" w:lineRule="auto"/>
        <w:jc w:val="both"/>
      </w:pPr>
      <w:r>
        <w:rPr>
          <w:sz w:val="22"/>
          <w:szCs w:val="22"/>
        </w:rPr>
        <w:t xml:space="preserve">Households were divided into quintiles of mean training load (Q1 lowest). Table S6 gives the median household test MAE in each quintile, Fig. S2 the distribution of the benefit of each arm over local training, and Table S7 summary statistics of that benefit.</w:t>
      </w:r>
    </w:p>
    <w:p>
      <w:pPr>
        <w:keepNext/>
        <w:keepLines/>
        <w:spacing w:before="80" w:after="160"/>
        <w:jc w:val="both"/>
      </w:pPr>
      <w:r>
        <w:rPr>
          <w:b/>
          <w:bCs/>
          <w:sz w:val="19"/>
          <w:szCs w:val="19"/>
        </w:rPr>
        <w:t>Table S6.</w:t>
      </w:r>
      <w:r>
        <w:rPr>
          <w:sz w:val="19"/>
          <w:szCs w:val="19"/>
        </w:rPr>
        <w:t xml:space="preserve"> </w:t>
      </w:r>
      <w:r>
        <w:rPr>
          <w:sz w:val="19"/>
          <w:szCs w:val="19"/>
        </w:rPr>
        <w:t xml:space="preserve">Median household test MAE (kWh) by consumption quintile. FedAvg at </w:t>
      </w:r>
      <m:oMath>
        <m:r>
          <w:rPr>
            <w:rFonts w:ascii="Cambria Math" w:hAnsi="Cambria Math"/>
            <w:sz w:val="19"/>
            <w:szCs w:val="19"/>
          </w:rPr>
          <m:t>K=20</m:t>
        </m:r>
      </m:oMath>
      <w:r>
        <w:rPr>
          <w:sz w:val="19"/>
          <w:szCs w:val="19"/>
        </w:rPr>
        <w:t xml:space="preserve"> unless stated.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61"/>
        <w:gridCol w:w="1274"/>
        <w:gridCol w:w="1380"/>
        <w:gridCol w:w="1592"/>
        <w:gridCol w:w="2123"/>
        <w:gridCol w:w="1596"/>
      </w:tblGrid>
      <w:tr>
        <w:trPr>
          <w:tblHeader/>
          <w:cantSplit/>
        </w:trPr>
        <w:tc>
          <w:tcPr>
            <w:tcW w:w="1061"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Quintile</w:t>
            </w:r>
          </w:p>
        </w:tc>
        <w:tc>
          <w:tcPr>
            <w:tcW w:w="127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Local-only</w:t>
            </w:r>
          </w:p>
        </w:tc>
        <w:tc>
          <w:tcPr>
            <w:tcW w:w="138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Centralised</w:t>
            </w:r>
          </w:p>
        </w:tc>
        <w:tc>
          <w:tcPr>
            <w:tcW w:w="159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α=0.3</w:t>
            </w:r>
          </w:p>
        </w:tc>
        <w:tc>
          <w:tcPr>
            <w:tcW w:w="212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α=0.3 + FT</w:t>
            </w:r>
          </w:p>
        </w:tc>
        <w:tc>
          <w:tcPr>
            <w:tcW w:w="159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K=100</w:t>
            </w:r>
          </w:p>
        </w:tc>
      </w:tr>
      <w:tr>
        <w:trPr>
          <w:cantSplit/>
        </w:trPr>
        <w:tc>
          <w:tcPr>
            <w:tcW w:w="1061" w:type="dxa"/>
            <w:tcMar>
              <w:top w:w="40" w:type="dxa"/>
              <w:left w:w="80" w:type="dxa"/>
              <w:bottom w:w="40" w:type="dxa"/>
              <w:right w:w="80" w:type="dxa"/>
            </w:tcMar>
          </w:tcPr>
          <w:p>
            <w:pPr>
              <w:keepNext/>
              <w:spacing w:before="0" w:after="0" w:line="240" w:lineRule="auto"/>
              <w:jc w:val="left"/>
            </w:pPr>
            <w:r>
              <w:rPr>
                <w:sz w:val="17"/>
                <w:szCs w:val="17"/>
              </w:rPr>
              <w:t xml:space="preserve">Q1</w:t>
            </w:r>
          </w:p>
        </w:tc>
        <w:tc>
          <w:tcPr>
            <w:tcW w:w="1274" w:type="dxa"/>
            <w:tcMar>
              <w:top w:w="40" w:type="dxa"/>
              <w:left w:w="80" w:type="dxa"/>
              <w:bottom w:w="40" w:type="dxa"/>
              <w:right w:w="80" w:type="dxa"/>
            </w:tcMar>
          </w:tcPr>
          <w:p>
            <w:pPr>
              <w:keepNext/>
              <w:spacing w:before="0" w:after="0" w:line="240" w:lineRule="auto"/>
              <w:jc w:val="right"/>
            </w:pPr>
            <w:r>
              <w:rPr>
                <w:sz w:val="17"/>
                <w:szCs w:val="17"/>
              </w:rPr>
              <w:t xml:space="preserve">0.0279</w:t>
            </w:r>
          </w:p>
        </w:tc>
        <w:tc>
          <w:tcPr>
            <w:tcW w:w="1380" w:type="dxa"/>
            <w:tcMar>
              <w:top w:w="40" w:type="dxa"/>
              <w:left w:w="80" w:type="dxa"/>
              <w:bottom w:w="40" w:type="dxa"/>
              <w:right w:w="80" w:type="dxa"/>
            </w:tcMar>
          </w:tcPr>
          <w:p>
            <w:pPr>
              <w:keepNext/>
              <w:spacing w:before="0" w:after="0" w:line="240" w:lineRule="auto"/>
              <w:jc w:val="right"/>
            </w:pPr>
            <w:r>
              <w:rPr>
                <w:sz w:val="17"/>
                <w:szCs w:val="17"/>
              </w:rPr>
              <w:t xml:space="preserve">0.0281</w:t>
            </w:r>
          </w:p>
        </w:tc>
        <w:tc>
          <w:tcPr>
            <w:tcW w:w="1592" w:type="dxa"/>
            <w:tcMar>
              <w:top w:w="40" w:type="dxa"/>
              <w:left w:w="80" w:type="dxa"/>
              <w:bottom w:w="40" w:type="dxa"/>
              <w:right w:w="80" w:type="dxa"/>
            </w:tcMar>
          </w:tcPr>
          <w:p>
            <w:pPr>
              <w:keepNext/>
              <w:spacing w:before="0" w:after="0" w:line="240" w:lineRule="auto"/>
              <w:jc w:val="right"/>
            </w:pPr>
            <w:r>
              <w:rPr>
                <w:sz w:val="17"/>
                <w:szCs w:val="17"/>
              </w:rPr>
              <w:t xml:space="preserve">0.0299</w:t>
            </w:r>
          </w:p>
        </w:tc>
        <w:tc>
          <w:tcPr>
            <w:tcW w:w="2123" w:type="dxa"/>
            <w:tcMar>
              <w:top w:w="40" w:type="dxa"/>
              <w:left w:w="80" w:type="dxa"/>
              <w:bottom w:w="40" w:type="dxa"/>
              <w:right w:w="80" w:type="dxa"/>
            </w:tcMar>
          </w:tcPr>
          <w:p>
            <w:pPr>
              <w:keepNext/>
              <w:spacing w:before="0" w:after="0" w:line="240" w:lineRule="auto"/>
              <w:jc w:val="right"/>
            </w:pPr>
            <w:r>
              <w:rPr>
                <w:sz w:val="17"/>
                <w:szCs w:val="17"/>
              </w:rPr>
              <w:t xml:space="preserve">0.0297</w:t>
            </w:r>
          </w:p>
        </w:tc>
        <w:tc>
          <w:tcPr>
            <w:tcW w:w="1596" w:type="dxa"/>
            <w:tcMar>
              <w:top w:w="40" w:type="dxa"/>
              <w:left w:w="80" w:type="dxa"/>
              <w:bottom w:w="40" w:type="dxa"/>
              <w:right w:w="80" w:type="dxa"/>
            </w:tcMar>
          </w:tcPr>
          <w:p>
            <w:pPr>
              <w:keepNext/>
              <w:spacing w:before="0" w:after="0" w:line="240" w:lineRule="auto"/>
              <w:jc w:val="right"/>
            </w:pPr>
            <w:r>
              <w:rPr>
                <w:sz w:val="17"/>
                <w:szCs w:val="17"/>
              </w:rPr>
              <w:t xml:space="preserve">0.0304</w:t>
            </w:r>
          </w:p>
        </w:tc>
      </w:tr>
      <w:tr>
        <w:trPr>
          <w:cantSplit/>
        </w:trPr>
        <w:tc>
          <w:tcPr>
            <w:tcW w:w="1061" w:type="dxa"/>
            <w:tcMar>
              <w:top w:w="40" w:type="dxa"/>
              <w:left w:w="80" w:type="dxa"/>
              <w:bottom w:w="40" w:type="dxa"/>
              <w:right w:w="80" w:type="dxa"/>
            </w:tcMar>
          </w:tcPr>
          <w:p>
            <w:pPr>
              <w:keepNext/>
              <w:spacing w:before="0" w:after="0" w:line="240" w:lineRule="auto"/>
              <w:jc w:val="left"/>
            </w:pPr>
            <w:r>
              <w:rPr>
                <w:sz w:val="17"/>
                <w:szCs w:val="17"/>
              </w:rPr>
              <w:t xml:space="preserve">Q2</w:t>
            </w:r>
          </w:p>
        </w:tc>
        <w:tc>
          <w:tcPr>
            <w:tcW w:w="1274" w:type="dxa"/>
            <w:tcMar>
              <w:top w:w="40" w:type="dxa"/>
              <w:left w:w="80" w:type="dxa"/>
              <w:bottom w:w="40" w:type="dxa"/>
              <w:right w:w="80" w:type="dxa"/>
            </w:tcMar>
          </w:tcPr>
          <w:p>
            <w:pPr>
              <w:keepNext/>
              <w:spacing w:before="0" w:after="0" w:line="240" w:lineRule="auto"/>
              <w:jc w:val="right"/>
            </w:pPr>
            <w:r>
              <w:rPr>
                <w:sz w:val="17"/>
                <w:szCs w:val="17"/>
              </w:rPr>
              <w:t xml:space="preserve">0.0467</w:t>
            </w:r>
          </w:p>
        </w:tc>
        <w:tc>
          <w:tcPr>
            <w:tcW w:w="1380" w:type="dxa"/>
            <w:tcMar>
              <w:top w:w="40" w:type="dxa"/>
              <w:left w:w="80" w:type="dxa"/>
              <w:bottom w:w="40" w:type="dxa"/>
              <w:right w:w="80" w:type="dxa"/>
            </w:tcMar>
          </w:tcPr>
          <w:p>
            <w:pPr>
              <w:keepNext/>
              <w:spacing w:before="0" w:after="0" w:line="240" w:lineRule="auto"/>
              <w:jc w:val="right"/>
            </w:pPr>
            <w:r>
              <w:rPr>
                <w:sz w:val="17"/>
                <w:szCs w:val="17"/>
              </w:rPr>
              <w:t xml:space="preserve">0.0470</w:t>
            </w:r>
          </w:p>
        </w:tc>
        <w:tc>
          <w:tcPr>
            <w:tcW w:w="1592" w:type="dxa"/>
            <w:tcMar>
              <w:top w:w="40" w:type="dxa"/>
              <w:left w:w="80" w:type="dxa"/>
              <w:bottom w:w="40" w:type="dxa"/>
              <w:right w:w="80" w:type="dxa"/>
            </w:tcMar>
          </w:tcPr>
          <w:p>
            <w:pPr>
              <w:keepNext/>
              <w:spacing w:before="0" w:after="0" w:line="240" w:lineRule="auto"/>
              <w:jc w:val="right"/>
            </w:pPr>
            <w:r>
              <w:rPr>
                <w:sz w:val="17"/>
                <w:szCs w:val="17"/>
              </w:rPr>
              <w:t xml:space="preserve">0.0494</w:t>
            </w:r>
          </w:p>
        </w:tc>
        <w:tc>
          <w:tcPr>
            <w:tcW w:w="2123" w:type="dxa"/>
            <w:tcMar>
              <w:top w:w="40" w:type="dxa"/>
              <w:left w:w="80" w:type="dxa"/>
              <w:bottom w:w="40" w:type="dxa"/>
              <w:right w:w="80" w:type="dxa"/>
            </w:tcMar>
          </w:tcPr>
          <w:p>
            <w:pPr>
              <w:keepNext/>
              <w:spacing w:before="0" w:after="0" w:line="240" w:lineRule="auto"/>
              <w:jc w:val="right"/>
            </w:pPr>
            <w:r>
              <w:rPr>
                <w:sz w:val="17"/>
                <w:szCs w:val="17"/>
              </w:rPr>
              <w:t xml:space="preserve">0.0481</w:t>
            </w:r>
          </w:p>
        </w:tc>
        <w:tc>
          <w:tcPr>
            <w:tcW w:w="1596" w:type="dxa"/>
            <w:tcMar>
              <w:top w:w="40" w:type="dxa"/>
              <w:left w:w="80" w:type="dxa"/>
              <w:bottom w:w="40" w:type="dxa"/>
              <w:right w:w="80" w:type="dxa"/>
            </w:tcMar>
          </w:tcPr>
          <w:p>
            <w:pPr>
              <w:keepNext/>
              <w:spacing w:before="0" w:after="0" w:line="240" w:lineRule="auto"/>
              <w:jc w:val="right"/>
            </w:pPr>
            <w:r>
              <w:rPr>
                <w:sz w:val="17"/>
                <w:szCs w:val="17"/>
              </w:rPr>
              <w:t xml:space="preserve">0.0514</w:t>
            </w:r>
          </w:p>
        </w:tc>
      </w:tr>
      <w:tr>
        <w:trPr>
          <w:cantSplit/>
        </w:trPr>
        <w:tc>
          <w:tcPr>
            <w:tcW w:w="1061" w:type="dxa"/>
            <w:tcMar>
              <w:top w:w="40" w:type="dxa"/>
              <w:left w:w="80" w:type="dxa"/>
              <w:bottom w:w="40" w:type="dxa"/>
              <w:right w:w="80" w:type="dxa"/>
            </w:tcMar>
          </w:tcPr>
          <w:p>
            <w:pPr>
              <w:keepNext/>
              <w:spacing w:before="0" w:after="0" w:line="240" w:lineRule="auto"/>
              <w:jc w:val="left"/>
            </w:pPr>
            <w:r>
              <w:rPr>
                <w:sz w:val="17"/>
                <w:szCs w:val="17"/>
              </w:rPr>
              <w:t xml:space="preserve">Q3</w:t>
            </w:r>
          </w:p>
        </w:tc>
        <w:tc>
          <w:tcPr>
            <w:tcW w:w="1274" w:type="dxa"/>
            <w:tcMar>
              <w:top w:w="40" w:type="dxa"/>
              <w:left w:w="80" w:type="dxa"/>
              <w:bottom w:w="40" w:type="dxa"/>
              <w:right w:w="80" w:type="dxa"/>
            </w:tcMar>
          </w:tcPr>
          <w:p>
            <w:pPr>
              <w:keepNext/>
              <w:spacing w:before="0" w:after="0" w:line="240" w:lineRule="auto"/>
              <w:jc w:val="right"/>
            </w:pPr>
            <w:r>
              <w:rPr>
                <w:sz w:val="17"/>
                <w:szCs w:val="17"/>
              </w:rPr>
              <w:t xml:space="preserve">0.0755</w:t>
            </w:r>
          </w:p>
        </w:tc>
        <w:tc>
          <w:tcPr>
            <w:tcW w:w="1380" w:type="dxa"/>
            <w:tcMar>
              <w:top w:w="40" w:type="dxa"/>
              <w:left w:w="80" w:type="dxa"/>
              <w:bottom w:w="40" w:type="dxa"/>
              <w:right w:w="80" w:type="dxa"/>
            </w:tcMar>
          </w:tcPr>
          <w:p>
            <w:pPr>
              <w:keepNext/>
              <w:spacing w:before="0" w:after="0" w:line="240" w:lineRule="auto"/>
              <w:jc w:val="right"/>
            </w:pPr>
            <w:r>
              <w:rPr>
                <w:sz w:val="17"/>
                <w:szCs w:val="17"/>
              </w:rPr>
              <w:t xml:space="preserve">0.0742</w:t>
            </w:r>
          </w:p>
        </w:tc>
        <w:tc>
          <w:tcPr>
            <w:tcW w:w="1592" w:type="dxa"/>
            <w:tcMar>
              <w:top w:w="40" w:type="dxa"/>
              <w:left w:w="80" w:type="dxa"/>
              <w:bottom w:w="40" w:type="dxa"/>
              <w:right w:w="80" w:type="dxa"/>
            </w:tcMar>
          </w:tcPr>
          <w:p>
            <w:pPr>
              <w:keepNext/>
              <w:spacing w:before="0" w:after="0" w:line="240" w:lineRule="auto"/>
              <w:jc w:val="right"/>
            </w:pPr>
            <w:r>
              <w:rPr>
                <w:sz w:val="17"/>
                <w:szCs w:val="17"/>
              </w:rPr>
              <w:t xml:space="preserve">0.0760</w:t>
            </w:r>
          </w:p>
        </w:tc>
        <w:tc>
          <w:tcPr>
            <w:tcW w:w="2123" w:type="dxa"/>
            <w:tcMar>
              <w:top w:w="40" w:type="dxa"/>
              <w:left w:w="80" w:type="dxa"/>
              <w:bottom w:w="40" w:type="dxa"/>
              <w:right w:w="80" w:type="dxa"/>
            </w:tcMar>
          </w:tcPr>
          <w:p>
            <w:pPr>
              <w:keepNext/>
              <w:spacing w:before="0" w:after="0" w:line="240" w:lineRule="auto"/>
              <w:jc w:val="right"/>
            </w:pPr>
            <w:r>
              <w:rPr>
                <w:sz w:val="17"/>
                <w:szCs w:val="17"/>
              </w:rPr>
              <w:t xml:space="preserve">0.0782</w:t>
            </w:r>
          </w:p>
        </w:tc>
        <w:tc>
          <w:tcPr>
            <w:tcW w:w="1596" w:type="dxa"/>
            <w:tcMar>
              <w:top w:w="40" w:type="dxa"/>
              <w:left w:w="80" w:type="dxa"/>
              <w:bottom w:w="40" w:type="dxa"/>
              <w:right w:w="80" w:type="dxa"/>
            </w:tcMar>
          </w:tcPr>
          <w:p>
            <w:pPr>
              <w:keepNext/>
              <w:spacing w:before="0" w:after="0" w:line="240" w:lineRule="auto"/>
              <w:jc w:val="right"/>
            </w:pPr>
            <w:r>
              <w:rPr>
                <w:sz w:val="17"/>
                <w:szCs w:val="17"/>
              </w:rPr>
              <w:t xml:space="preserve">0.0790</w:t>
            </w:r>
          </w:p>
        </w:tc>
      </w:tr>
      <w:tr>
        <w:trPr>
          <w:cantSplit/>
        </w:trPr>
        <w:tc>
          <w:tcPr>
            <w:tcW w:w="1061" w:type="dxa"/>
            <w:tcMar>
              <w:top w:w="40" w:type="dxa"/>
              <w:left w:w="80" w:type="dxa"/>
              <w:bottom w:w="40" w:type="dxa"/>
              <w:right w:w="80" w:type="dxa"/>
            </w:tcMar>
          </w:tcPr>
          <w:p>
            <w:pPr>
              <w:keepNext/>
              <w:spacing w:before="0" w:after="0" w:line="240" w:lineRule="auto"/>
              <w:jc w:val="left"/>
            </w:pPr>
            <w:r>
              <w:rPr>
                <w:sz w:val="17"/>
                <w:szCs w:val="17"/>
              </w:rPr>
              <w:t xml:space="preserve">Q4</w:t>
            </w:r>
          </w:p>
        </w:tc>
        <w:tc>
          <w:tcPr>
            <w:tcW w:w="1274" w:type="dxa"/>
            <w:tcMar>
              <w:top w:w="40" w:type="dxa"/>
              <w:left w:w="80" w:type="dxa"/>
              <w:bottom w:w="40" w:type="dxa"/>
              <w:right w:w="80" w:type="dxa"/>
            </w:tcMar>
          </w:tcPr>
          <w:p>
            <w:pPr>
              <w:keepNext/>
              <w:spacing w:before="0" w:after="0" w:line="240" w:lineRule="auto"/>
              <w:jc w:val="right"/>
            </w:pPr>
            <w:r>
              <w:rPr>
                <w:sz w:val="17"/>
                <w:szCs w:val="17"/>
              </w:rPr>
              <w:t xml:space="preserve">0.1053</w:t>
            </w:r>
          </w:p>
        </w:tc>
        <w:tc>
          <w:tcPr>
            <w:tcW w:w="1380" w:type="dxa"/>
            <w:tcMar>
              <w:top w:w="40" w:type="dxa"/>
              <w:left w:w="80" w:type="dxa"/>
              <w:bottom w:w="40" w:type="dxa"/>
              <w:right w:w="80" w:type="dxa"/>
            </w:tcMar>
          </w:tcPr>
          <w:p>
            <w:pPr>
              <w:keepNext/>
              <w:spacing w:before="0" w:after="0" w:line="240" w:lineRule="auto"/>
              <w:jc w:val="right"/>
            </w:pPr>
            <w:r>
              <w:rPr>
                <w:sz w:val="17"/>
                <w:szCs w:val="17"/>
              </w:rPr>
              <w:t xml:space="preserve">0.1031</w:t>
            </w:r>
          </w:p>
        </w:tc>
        <w:tc>
          <w:tcPr>
            <w:tcW w:w="1592" w:type="dxa"/>
            <w:tcMar>
              <w:top w:w="40" w:type="dxa"/>
              <w:left w:w="80" w:type="dxa"/>
              <w:bottom w:w="40" w:type="dxa"/>
              <w:right w:w="80" w:type="dxa"/>
            </w:tcMar>
          </w:tcPr>
          <w:p>
            <w:pPr>
              <w:keepNext/>
              <w:spacing w:before="0" w:after="0" w:line="240" w:lineRule="auto"/>
              <w:jc w:val="right"/>
            </w:pPr>
            <w:r>
              <w:rPr>
                <w:sz w:val="17"/>
                <w:szCs w:val="17"/>
              </w:rPr>
              <w:t xml:space="preserve">0.1099</w:t>
            </w:r>
          </w:p>
        </w:tc>
        <w:tc>
          <w:tcPr>
            <w:tcW w:w="2123" w:type="dxa"/>
            <w:tcMar>
              <w:top w:w="40" w:type="dxa"/>
              <w:left w:w="80" w:type="dxa"/>
              <w:bottom w:w="40" w:type="dxa"/>
              <w:right w:w="80" w:type="dxa"/>
            </w:tcMar>
          </w:tcPr>
          <w:p>
            <w:pPr>
              <w:keepNext/>
              <w:spacing w:before="0" w:after="0" w:line="240" w:lineRule="auto"/>
              <w:jc w:val="right"/>
            </w:pPr>
            <w:r>
              <w:rPr>
                <w:sz w:val="17"/>
                <w:szCs w:val="17"/>
              </w:rPr>
              <w:t xml:space="preserve">0.1073</w:t>
            </w:r>
          </w:p>
        </w:tc>
        <w:tc>
          <w:tcPr>
            <w:tcW w:w="1596" w:type="dxa"/>
            <w:tcMar>
              <w:top w:w="40" w:type="dxa"/>
              <w:left w:w="80" w:type="dxa"/>
              <w:bottom w:w="40" w:type="dxa"/>
              <w:right w:w="80" w:type="dxa"/>
            </w:tcMar>
          </w:tcPr>
          <w:p>
            <w:pPr>
              <w:keepNext/>
              <w:spacing w:before="0" w:after="0" w:line="240" w:lineRule="auto"/>
              <w:jc w:val="right"/>
            </w:pPr>
            <w:r>
              <w:rPr>
                <w:sz w:val="17"/>
                <w:szCs w:val="17"/>
              </w:rPr>
              <w:t xml:space="preserve">0.1117</w:t>
            </w:r>
          </w:p>
        </w:tc>
      </w:tr>
      <w:tr>
        <w:trPr>
          <w:cantSplit/>
        </w:trPr>
        <w:tc>
          <w:tcPr>
            <w:tcW w:w="1061" w:type="dxa"/>
            <w:tcMar>
              <w:top w:w="40" w:type="dxa"/>
              <w:left w:w="80" w:type="dxa"/>
              <w:bottom w:w="40" w:type="dxa"/>
              <w:right w:w="80" w:type="dxa"/>
            </w:tcMar>
          </w:tcPr>
          <w:p>
            <w:pPr>
              <w:spacing w:before="0" w:after="0" w:line="240" w:lineRule="auto"/>
              <w:jc w:val="left"/>
            </w:pPr>
            <w:r>
              <w:rPr>
                <w:sz w:val="17"/>
                <w:szCs w:val="17"/>
              </w:rPr>
              <w:t xml:space="preserve">Q5</w:t>
            </w:r>
          </w:p>
        </w:tc>
        <w:tc>
          <w:tcPr>
            <w:tcW w:w="1274" w:type="dxa"/>
            <w:tcMar>
              <w:top w:w="40" w:type="dxa"/>
              <w:left w:w="80" w:type="dxa"/>
              <w:bottom w:w="40" w:type="dxa"/>
              <w:right w:w="80" w:type="dxa"/>
            </w:tcMar>
          </w:tcPr>
          <w:p>
            <w:pPr>
              <w:spacing w:before="0" w:after="0" w:line="240" w:lineRule="auto"/>
              <w:jc w:val="right"/>
            </w:pPr>
            <w:r>
              <w:rPr>
                <w:sz w:val="17"/>
                <w:szCs w:val="17"/>
              </w:rPr>
              <w:t xml:space="preserve">0.1393</w:t>
            </w:r>
          </w:p>
        </w:tc>
        <w:tc>
          <w:tcPr>
            <w:tcW w:w="1380" w:type="dxa"/>
            <w:tcMar>
              <w:top w:w="40" w:type="dxa"/>
              <w:left w:w="80" w:type="dxa"/>
              <w:bottom w:w="40" w:type="dxa"/>
              <w:right w:w="80" w:type="dxa"/>
            </w:tcMar>
          </w:tcPr>
          <w:p>
            <w:pPr>
              <w:spacing w:before="0" w:after="0" w:line="240" w:lineRule="auto"/>
              <w:jc w:val="right"/>
            </w:pPr>
            <w:r>
              <w:rPr>
                <w:sz w:val="17"/>
                <w:szCs w:val="17"/>
              </w:rPr>
              <w:t xml:space="preserve">0.1317</w:t>
            </w:r>
          </w:p>
        </w:tc>
        <w:tc>
          <w:tcPr>
            <w:tcW w:w="1592" w:type="dxa"/>
            <w:tcMar>
              <w:top w:w="40" w:type="dxa"/>
              <w:left w:w="80" w:type="dxa"/>
              <w:bottom w:w="40" w:type="dxa"/>
              <w:right w:w="80" w:type="dxa"/>
            </w:tcMar>
          </w:tcPr>
          <w:p>
            <w:pPr>
              <w:spacing w:before="0" w:after="0" w:line="240" w:lineRule="auto"/>
              <w:jc w:val="right"/>
            </w:pPr>
            <w:r>
              <w:rPr>
                <w:sz w:val="17"/>
                <w:szCs w:val="17"/>
              </w:rPr>
              <w:t xml:space="preserve">0.1408</w:t>
            </w:r>
          </w:p>
        </w:tc>
        <w:tc>
          <w:tcPr>
            <w:tcW w:w="2123" w:type="dxa"/>
            <w:tcMar>
              <w:top w:w="40" w:type="dxa"/>
              <w:left w:w="80" w:type="dxa"/>
              <w:bottom w:w="40" w:type="dxa"/>
              <w:right w:w="80" w:type="dxa"/>
            </w:tcMar>
          </w:tcPr>
          <w:p>
            <w:pPr>
              <w:spacing w:before="0" w:after="0" w:line="240" w:lineRule="auto"/>
              <w:jc w:val="right"/>
            </w:pPr>
            <w:r>
              <w:rPr>
                <w:sz w:val="17"/>
                <w:szCs w:val="17"/>
              </w:rPr>
              <w:t xml:space="preserve">0.1393</w:t>
            </w:r>
          </w:p>
        </w:tc>
        <w:tc>
          <w:tcPr>
            <w:tcW w:w="1596" w:type="dxa"/>
            <w:tcMar>
              <w:top w:w="40" w:type="dxa"/>
              <w:left w:w="80" w:type="dxa"/>
              <w:bottom w:w="40" w:type="dxa"/>
              <w:right w:w="80" w:type="dxa"/>
            </w:tcMar>
          </w:tcPr>
          <w:p>
            <w:pPr>
              <w:spacing w:before="0" w:after="0" w:line="240" w:lineRule="auto"/>
              <w:jc w:val="right"/>
            </w:pPr>
            <w:r>
              <w:rPr>
                <w:sz w:val="17"/>
                <w:szCs w:val="17"/>
              </w:rPr>
              <w:t xml:space="preserve">0.1487</w:t>
            </w:r>
          </w:p>
        </w:tc>
      </w:tr>
    </w:tbl>
    <w:p>
      <w:pPr>
        <w:spacing w:after="120"/>
      </w:pPr>
    </w:p>
    <w:p>
      <w:pPr>
        <w:keepNext/>
        <w:spacing w:before="0"/>
        <w:jc w:val="center"/>
      </w:pPr>
      <w:r>
        <w:drawing>
          <wp:inline xmlns:a="http://schemas.openxmlformats.org/drawingml/2006/main" xmlns:pic="http://schemas.openxmlformats.org/drawingml/2006/picture">
            <wp:extent cx="4013301" cy="2191863"/>
            <wp:docPr id="2" name="Picture 2"/>
            <wp:cNvGraphicFramePr>
              <a:graphicFrameLocks noChangeAspect="1"/>
            </wp:cNvGraphicFramePr>
            <a:graphic>
              <a:graphicData uri="http://schemas.openxmlformats.org/drawingml/2006/picture">
                <pic:pic>
                  <pic:nvPicPr>
                    <pic:cNvPr id="0" name="federation_benefit_cdf.png"/>
                    <pic:cNvPicPr/>
                  </pic:nvPicPr>
                  <pic:blipFill>
                    <a:blip r:embed="rId9"/>
                    <a:stretch>
                      <a:fillRect/>
                    </a:stretch>
                  </pic:blipFill>
                  <pic:spPr>
                    <a:xfrm>
                      <a:off x="0" y="0"/>
                      <a:ext cx="4013301" cy="2191863"/>
                    </a:xfrm>
                    <a:prstGeom prst="rect"/>
                  </pic:spPr>
                </pic:pic>
              </a:graphicData>
            </a:graphic>
          </wp:inline>
        </w:drawing>
      </w:r>
    </w:p>
    <w:p>
      <w:pPr>
        <w:keepLines/>
        <w:spacing w:before="80" w:after="160"/>
        <w:jc w:val="both"/>
      </w:pPr>
      <w:r>
        <w:rPr>
          <w:b/>
          <w:bCs/>
          <w:sz w:val="19"/>
          <w:szCs w:val="19"/>
        </w:rPr>
        <w:t>Figure S2.</w:t>
      </w:r>
      <w:r>
        <w:rPr>
          <w:sz w:val="19"/>
          <w:szCs w:val="19"/>
        </w:rPr>
        <w:t xml:space="preserve"> </w:t>
      </w:r>
      <w:r>
        <w:rPr>
          <w:sz w:val="19"/>
          <w:szCs w:val="19"/>
        </w:rPr>
        <w:t xml:space="preserve">Distribution over households of the benefit of each collaborative arm over local training (</w:t>
      </w:r>
      <m:oMath>
        <m:sSub>
          <m:e>
            <m:r>
              <m:rPr>
                <m:sty m:val="p"/>
              </m:rPr>
              <w:rPr>
                <w:rFonts w:ascii="Cambria Math" w:hAnsi="Cambria Math"/>
                <w:sz w:val="19"/>
                <w:szCs w:val="19"/>
              </w:rPr>
              <m:t>MAE</m:t>
            </m:r>
          </m:e>
          <m:sub>
            <m:r>
              <m:rPr>
                <m:sty m:val="p"/>
              </m:rPr>
              <w:rPr>
                <w:rFonts w:ascii="Cambria Math" w:hAnsi="Cambria Math"/>
                <w:sz w:val="19"/>
                <w:szCs w:val="19"/>
              </w:rPr>
              <m:t>local</m:t>
            </m:r>
          </m:sub>
        </m:sSub>
        <m:r>
          <w:rPr>
            <w:rFonts w:ascii="Cambria Math" w:hAnsi="Cambria Math"/>
            <w:sz w:val="19"/>
            <w:szCs w:val="19"/>
          </w:rPr>
          <m:t>−</m:t>
        </m:r>
        <m:sSub>
          <m:e>
            <m:r>
              <m:rPr>
                <m:sty m:val="p"/>
              </m:rPr>
              <w:rPr>
                <w:rFonts w:ascii="Cambria Math" w:hAnsi="Cambria Math"/>
                <w:sz w:val="19"/>
                <w:szCs w:val="19"/>
              </w:rPr>
              <m:t>MAE</m:t>
            </m:r>
          </m:e>
          <m:sub>
            <m:r>
              <m:rPr>
                <m:sty m:val="p"/>
              </m:rPr>
              <w:rPr>
                <w:rFonts w:ascii="Cambria Math" w:hAnsi="Cambria Math"/>
                <w:sz w:val="19"/>
                <w:szCs w:val="19"/>
              </w:rPr>
              <m:t>arm</m:t>
            </m:r>
          </m:sub>
        </m:sSub>
      </m:oMath>
      <w:r>
        <w:rPr>
          <w:sz w:val="19"/>
          <w:szCs w:val="19"/>
        </w:rPr>
        <w:t xml:space="preserve">, kWh; left of zero means worse off).</w:t>
      </w:r>
    </w:p>
    <w:p>
      <w:pPr>
        <w:keepNext/>
        <w:keepLines/>
        <w:spacing w:before="80" w:after="160"/>
        <w:jc w:val="both"/>
      </w:pPr>
      <w:r>
        <w:rPr>
          <w:b/>
          <w:bCs/>
          <w:sz w:val="19"/>
          <w:szCs w:val="19"/>
        </w:rPr>
        <w:t>Table S7.</w:t>
      </w:r>
      <w:r>
        <w:rPr>
          <w:sz w:val="19"/>
          <w:szCs w:val="19"/>
        </w:rPr>
        <w:t xml:space="preserve"> </w:t>
      </w:r>
      <w:r>
        <w:rPr>
          <w:sz w:val="19"/>
          <w:szCs w:val="19"/>
        </w:rPr>
        <w:t xml:space="preserve">Equity relative to local-only training (seed-averaged household MAE): share harmed (any difference), median benefit, 90th-percentile household MAE and share harmed after fine-tuning (FT).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24"/>
        <w:gridCol w:w="2112"/>
        <w:gridCol w:w="2112"/>
        <w:gridCol w:w="864"/>
        <w:gridCol w:w="2114"/>
      </w:tblGrid>
      <w:tr>
        <w:trPr>
          <w:tblHeader/>
          <w:cantSplit/>
        </w:trPr>
        <w:tc>
          <w:tcPr>
            <w:tcW w:w="1824"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Arm</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vs local (%)</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benefit (kWh)</w:t>
            </w:r>
          </w:p>
        </w:tc>
        <w:tc>
          <w:tcPr>
            <w:tcW w:w="86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P90 MAE</w:t>
            </w:r>
          </w:p>
        </w:tc>
        <w:tc>
          <w:tcPr>
            <w:tcW w:w="211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after FT (%)</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28</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+0.0016</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0.1364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56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−0.0007</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0.1436</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51</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0.1442</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49</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60</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0.1431</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46</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66</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0.1454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55</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82</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−0.0027</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0.1514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61</w:t>
            </w:r>
          </w:p>
        </w:tc>
      </w:tr>
      <w:tr>
        <w:trPr>
          <w:cantSplit/>
        </w:trPr>
        <w:tc>
          <w:tcPr>
            <w:tcW w:w="1824" w:type="dxa"/>
            <w:tcMar>
              <w:top w:w="40" w:type="dxa"/>
              <w:left w:w="80" w:type="dxa"/>
              <w:bottom w:w="40" w:type="dxa"/>
              <w:right w:w="80" w:type="dxa"/>
            </w:tcMar>
          </w:tcPr>
          <w:p>
            <w:pPr>
              <w:spacing w:before="0" w:after="0" w:line="240" w:lineRule="auto"/>
              <w:jc w:val="left"/>
            </w:pPr>
            <w:r>
              <w:rPr>
                <w:sz w:val="17"/>
                <w:szCs w:val="17"/>
              </w:rPr>
              <w:t xml:space="preserve">HA-FedProx, K=100</w:t>
            </w:r>
          </w:p>
        </w:tc>
        <w:tc>
          <w:tcPr>
            <w:tcW w:w="2112" w:type="dxa"/>
            <w:tcMar>
              <w:top w:w="40" w:type="dxa"/>
              <w:left w:w="80" w:type="dxa"/>
              <w:bottom w:w="40" w:type="dxa"/>
              <w:right w:w="80" w:type="dxa"/>
            </w:tcMar>
          </w:tcPr>
          <w:p>
            <w:pPr>
              <w:spacing w:before="0" w:after="0" w:line="240" w:lineRule="auto"/>
              <w:jc w:val="right"/>
            </w:pPr>
            <w:r>
              <w:rPr>
                <w:sz w:val="17"/>
                <w:szCs w:val="17"/>
              </w:rPr>
              <w:t xml:space="preserve">85</w:t>
            </w:r>
          </w:p>
        </w:tc>
        <w:tc>
          <w:tcPr>
            <w:tcW w:w="2112" w:type="dxa"/>
            <w:tcMar>
              <w:top w:w="40" w:type="dxa"/>
              <w:left w:w="80" w:type="dxa"/>
              <w:bottom w:w="40" w:type="dxa"/>
              <w:right w:w="80" w:type="dxa"/>
            </w:tcMar>
          </w:tcPr>
          <w:p>
            <w:pPr>
              <w:spacing w:before="0" w:after="0" w:line="240" w:lineRule="auto"/>
              <w:jc w:val="right"/>
            </w:pPr>
            <w:r>
              <w:rPr>
                <w:sz w:val="17"/>
                <w:szCs w:val="17"/>
              </w:rPr>
              <w:t xml:space="preserve">−0.0028</w:t>
            </w:r>
          </w:p>
        </w:tc>
        <w:tc>
          <w:tcPr>
            <w:tcW w:w="864" w:type="dxa"/>
            <w:tcMar>
              <w:top w:w="40" w:type="dxa"/>
              <w:left w:w="80" w:type="dxa"/>
              <w:bottom w:w="40" w:type="dxa"/>
              <w:right w:w="80" w:type="dxa"/>
            </w:tcMar>
          </w:tcPr>
          <w:p>
            <w:pPr>
              <w:spacing w:before="0" w:after="0" w:line="240" w:lineRule="auto"/>
              <w:jc w:val="right"/>
            </w:pPr>
            <w:r>
              <w:rPr>
                <w:sz w:val="17"/>
                <w:szCs w:val="17"/>
              </w:rPr>
              <w:t xml:space="preserve">0.1515</w:t>
            </w:r>
          </w:p>
        </w:tc>
        <w:tc>
          <w:tcPr>
            <w:tcW w:w="2114" w:type="dxa"/>
            <w:tcMar>
              <w:top w:w="40" w:type="dxa"/>
              <w:left w:w="80" w:type="dxa"/>
              <w:bottom w:w="40" w:type="dxa"/>
              <w:right w:w="80" w:type="dxa"/>
            </w:tcMar>
          </w:tcPr>
          <w:p>
            <w:pPr>
              <w:spacing w:before="0" w:after="0" w:line="240" w:lineRule="auto"/>
              <w:jc w:val="right"/>
            </w:pPr>
            <w:r>
              <w:rPr>
                <w:sz w:val="17"/>
                <w:szCs w:val="17"/>
              </w:rPr>
              <w:t xml:space="preserve">67</w:t>
            </w:r>
          </w:p>
        </w:tc>
      </w:tr>
    </w:tbl>
    <w:p>
      <w:pPr>
        <w:spacing w:after="120"/>
      </w:pPr>
    </w:p>
    <w:p>
      <w:pPr>
        <w:pStyle w:val="2"/>
        <w:keepNext/>
        <w:spacing w:before="320" w:after="120"/>
      </w:pPr>
      <w:r>
        <w:rPr>
          <w:b/>
          <w:bCs/>
          <w:color w:val="1F3864"/>
          <w:sz w:val="26"/>
          <w:szCs w:val="26"/>
        </w:rPr>
        <w:t xml:space="preserve">S7. Calendar inputs and scaled error</w:t>
      </w:r>
    </w:p>
    <w:p>
      <w:pPr>
        <w:spacing w:after="120" w:line="276" w:lineRule="auto"/>
        <w:jc w:val="both"/>
      </w:pPr>
      <w:r>
        <w:rPr>
          <w:sz w:val="22"/>
          <w:szCs w:val="22"/>
        </w:rPr>
        <w:t xml:space="preserve">Sine and cosine encodings of time of day and day of week were added as input channels to every arm in Table S8, with all other settings unchanged.</w:t>
      </w:r>
    </w:p>
    <w:p>
      <w:pPr>
        <w:keepNext/>
        <w:keepLines/>
        <w:spacing w:before="80" w:after="160"/>
        <w:jc w:val="both"/>
      </w:pPr>
      <w:r>
        <w:rPr>
          <w:b/>
          <w:bCs/>
          <w:sz w:val="19"/>
          <w:szCs w:val="19"/>
        </w:rPr>
        <w:t>Table S8.</w:t>
      </w:r>
      <w:r>
        <w:rPr>
          <w:sz w:val="19"/>
          <w:szCs w:val="19"/>
        </w:rPr>
        <w:t xml:space="preserve"> </w:t>
      </w:r>
      <w:r>
        <w:rPr>
          <w:sz w:val="19"/>
          <w:szCs w:val="19"/>
        </w:rPr>
        <w:t xml:space="preserve">Effect of calendar inputs, and MASE (scaled per household by the in-sample one-step naive MAE). Gain: MAE reduction relative to persistence; cal.: with calendar inputs. Gap: MAE relative to centralised training with the same inputs.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95"/>
        <w:gridCol w:w="744"/>
        <w:gridCol w:w="651"/>
        <w:gridCol w:w="1023"/>
        <w:gridCol w:w="1023"/>
        <w:gridCol w:w="1116"/>
        <w:gridCol w:w="1581"/>
        <w:gridCol w:w="1493"/>
      </w:tblGrid>
      <w:tr>
        <w:trPr>
          <w:tblHeader/>
          <w:cantSplit/>
        </w:trPr>
        <w:tc>
          <w:tcPr>
            <w:tcW w:w="1395"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Arm</w:t>
            </w:r>
          </w:p>
        </w:tc>
        <w:tc>
          <w:tcPr>
            <w:tcW w:w="74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w:t>
            </w:r>
          </w:p>
        </w:tc>
        <w:tc>
          <w:tcPr>
            <w:tcW w:w="65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MASE</w:t>
            </w:r>
          </w:p>
        </w:tc>
        <w:tc>
          <w:tcPr>
            <w:tcW w:w="102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Gain (%)</w:t>
            </w:r>
          </w:p>
        </w:tc>
        <w:tc>
          <w:tcPr>
            <w:tcW w:w="102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cal.</w:t>
            </w:r>
          </w:p>
        </w:tc>
        <w:tc>
          <w:tcPr>
            <w:tcW w:w="111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MASE, cal.</w:t>
            </w:r>
          </w:p>
        </w:tc>
        <w:tc>
          <w:tcPr>
            <w:tcW w:w="158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Gain, cal. (%)</w:t>
            </w:r>
          </w:p>
        </w:tc>
        <w:tc>
          <w:tcPr>
            <w:tcW w:w="149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cal. (%)</w:t>
            </w:r>
          </w:p>
        </w:tc>
      </w:tr>
      <w:tr>
        <w:trPr>
          <w:cantSplit/>
        </w:trPr>
        <w:tc>
          <w:tcPr>
            <w:tcW w:w="1395" w:type="dxa"/>
            <w:tcMar>
              <w:top w:w="40" w:type="dxa"/>
              <w:left w:w="80" w:type="dxa"/>
              <w:bottom w:w="40" w:type="dxa"/>
              <w:right w:w="80" w:type="dxa"/>
            </w:tcMar>
          </w:tcPr>
          <w:p>
            <w:pPr>
              <w:keepNext/>
              <w:spacing w:before="0" w:after="0" w:line="240" w:lineRule="auto"/>
              <w:jc w:val="left"/>
            </w:pPr>
            <w:r>
              <w:rPr>
                <w:sz w:val="16"/>
                <w:szCs w:val="16"/>
              </w:rPr>
              <w:t xml:space="preserve">Centralised</w:t>
            </w:r>
          </w:p>
        </w:tc>
        <w:tc>
          <w:tcPr>
            <w:tcW w:w="744" w:type="dxa"/>
            <w:tcMar>
              <w:top w:w="40" w:type="dxa"/>
              <w:left w:w="80" w:type="dxa"/>
              <w:bottom w:w="40" w:type="dxa"/>
              <w:right w:w="80" w:type="dxa"/>
            </w:tcMar>
          </w:tcPr>
          <w:p>
            <w:pPr>
              <w:keepNext/>
              <w:spacing w:before="0" w:after="0" w:line="240" w:lineRule="auto"/>
              <w:jc w:val="right"/>
            </w:pPr>
            <w:r>
              <w:rPr>
                <w:sz w:val="16"/>
                <w:szCs w:val="16"/>
              </w:rPr>
              <w:t xml:space="preserve">0.0811</w:t>
            </w:r>
          </w:p>
        </w:tc>
        <w:tc>
          <w:tcPr>
            <w:tcW w:w="651" w:type="dxa"/>
            <w:tcMar>
              <w:top w:w="40" w:type="dxa"/>
              <w:left w:w="80" w:type="dxa"/>
              <w:bottom w:w="40" w:type="dxa"/>
              <w:right w:w="80" w:type="dxa"/>
            </w:tcMar>
          </w:tcPr>
          <w:p>
            <w:pPr>
              <w:keepNext/>
              <w:spacing w:before="0" w:after="0" w:line="240" w:lineRule="auto"/>
              <w:jc w:val="right"/>
            </w:pPr>
            <w:r>
              <w:rPr>
                <w:sz w:val="16"/>
                <w:szCs w:val="16"/>
              </w:rPr>
              <w:t xml:space="preserve">0.987</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+8.9</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0.0815</w:t>
            </w:r>
          </w:p>
        </w:tc>
        <w:tc>
          <w:tcPr>
            <w:tcW w:w="1116" w:type="dxa"/>
            <w:tcMar>
              <w:top w:w="40" w:type="dxa"/>
              <w:left w:w="80" w:type="dxa"/>
              <w:bottom w:w="40" w:type="dxa"/>
              <w:right w:w="80" w:type="dxa"/>
            </w:tcMar>
          </w:tcPr>
          <w:p>
            <w:pPr>
              <w:keepNext/>
              <w:spacing w:before="0" w:after="0" w:line="240" w:lineRule="auto"/>
              <w:jc w:val="right"/>
            </w:pPr>
            <w:r>
              <w:rPr>
                <w:sz w:val="16"/>
                <w:szCs w:val="16"/>
              </w:rPr>
              <w:t xml:space="preserve">0.996</w:t>
            </w:r>
          </w:p>
        </w:tc>
        <w:tc>
          <w:tcPr>
            <w:tcW w:w="1581" w:type="dxa"/>
            <w:tcMar>
              <w:top w:w="40" w:type="dxa"/>
              <w:left w:w="80" w:type="dxa"/>
              <w:bottom w:w="40" w:type="dxa"/>
              <w:right w:w="80" w:type="dxa"/>
            </w:tcMar>
          </w:tcPr>
          <w:p>
            <w:pPr>
              <w:keepNext/>
              <w:spacing w:before="0" w:after="0" w:line="240" w:lineRule="auto"/>
              <w:jc w:val="right"/>
            </w:pPr>
            <w:r>
              <w:rPr>
                <w:sz w:val="16"/>
                <w:szCs w:val="16"/>
              </w:rPr>
              <w:t xml:space="preserve">+8.4</w:t>
            </w:r>
          </w:p>
        </w:tc>
        <w:tc>
          <w:tcPr>
            <w:tcW w:w="1493"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1395" w:type="dxa"/>
            <w:tcMar>
              <w:top w:w="40" w:type="dxa"/>
              <w:left w:w="80" w:type="dxa"/>
              <w:bottom w:w="40" w:type="dxa"/>
              <w:right w:w="80" w:type="dxa"/>
            </w:tcMar>
          </w:tcPr>
          <w:p>
            <w:pPr>
              <w:keepNext/>
              <w:spacing w:before="0" w:after="0" w:line="240" w:lineRule="auto"/>
              <w:jc w:val="left"/>
            </w:pPr>
            <w:r>
              <w:rPr>
                <w:sz w:val="16"/>
                <w:szCs w:val="16"/>
              </w:rPr>
              <w:t xml:space="preserve">Local-only</w:t>
            </w:r>
          </w:p>
        </w:tc>
        <w:tc>
          <w:tcPr>
            <w:tcW w:w="744" w:type="dxa"/>
            <w:tcMar>
              <w:top w:w="40" w:type="dxa"/>
              <w:left w:w="80" w:type="dxa"/>
              <w:bottom w:w="40" w:type="dxa"/>
              <w:right w:w="80" w:type="dxa"/>
            </w:tcMar>
          </w:tcPr>
          <w:p>
            <w:pPr>
              <w:keepNext/>
              <w:spacing w:before="0" w:after="0" w:line="240" w:lineRule="auto"/>
              <w:jc w:val="right"/>
            </w:pPr>
            <w:r>
              <w:rPr>
                <w:sz w:val="16"/>
                <w:szCs w:val="16"/>
              </w:rPr>
              <w:t xml:space="preserve">0.0840</w:t>
            </w:r>
          </w:p>
        </w:tc>
        <w:tc>
          <w:tcPr>
            <w:tcW w:w="651" w:type="dxa"/>
            <w:tcMar>
              <w:top w:w="40" w:type="dxa"/>
              <w:left w:w="80" w:type="dxa"/>
              <w:bottom w:w="40" w:type="dxa"/>
              <w:right w:w="80" w:type="dxa"/>
            </w:tcMar>
          </w:tcPr>
          <w:p>
            <w:pPr>
              <w:keepNext/>
              <w:spacing w:before="0" w:after="0" w:line="240" w:lineRule="auto"/>
              <w:jc w:val="right"/>
            </w:pPr>
            <w:r>
              <w:rPr>
                <w:sz w:val="16"/>
                <w:szCs w:val="16"/>
              </w:rPr>
              <w:t xml:space="preserve">1.006</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+5.6</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0.0838</w:t>
            </w:r>
          </w:p>
        </w:tc>
        <w:tc>
          <w:tcPr>
            <w:tcW w:w="1116" w:type="dxa"/>
            <w:tcMar>
              <w:top w:w="40" w:type="dxa"/>
              <w:left w:w="80" w:type="dxa"/>
              <w:bottom w:w="40" w:type="dxa"/>
              <w:right w:w="80" w:type="dxa"/>
            </w:tcMar>
          </w:tcPr>
          <w:p>
            <w:pPr>
              <w:keepNext/>
              <w:spacing w:before="0" w:after="0" w:line="240" w:lineRule="auto"/>
              <w:jc w:val="right"/>
            </w:pPr>
            <w:r>
              <w:rPr>
                <w:sz w:val="16"/>
                <w:szCs w:val="16"/>
              </w:rPr>
              <w:t xml:space="preserve">1.007</w:t>
            </w:r>
          </w:p>
        </w:tc>
        <w:tc>
          <w:tcPr>
            <w:tcW w:w="1581" w:type="dxa"/>
            <w:tcMar>
              <w:top w:w="40" w:type="dxa"/>
              <w:left w:w="80" w:type="dxa"/>
              <w:bottom w:w="40" w:type="dxa"/>
              <w:right w:w="80" w:type="dxa"/>
            </w:tcMar>
          </w:tcPr>
          <w:p>
            <w:pPr>
              <w:keepNext/>
              <w:spacing w:before="0" w:after="0" w:line="240" w:lineRule="auto"/>
              <w:jc w:val="right"/>
            </w:pPr>
            <w:r>
              <w:rPr>
                <w:sz w:val="16"/>
                <w:szCs w:val="16"/>
              </w:rPr>
              <w:t xml:space="preserve">+5.8</w:t>
            </w:r>
          </w:p>
        </w:tc>
        <w:tc>
          <w:tcPr>
            <w:tcW w:w="1493"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1395" w:type="dxa"/>
            <w:tcMar>
              <w:top w:w="40" w:type="dxa"/>
              <w:left w:w="80" w:type="dxa"/>
              <w:bottom w:w="40" w:type="dxa"/>
              <w:right w:w="80" w:type="dxa"/>
            </w:tcMar>
          </w:tcPr>
          <w:p>
            <w:pPr>
              <w:keepNext/>
              <w:spacing w:before="0" w:after="0" w:line="240" w:lineRule="auto"/>
              <w:jc w:val="left"/>
            </w:pPr>
            <w:r>
              <w:rPr>
                <w:sz w:val="16"/>
                <w:szCs w:val="16"/>
              </w:rPr>
              <w:t xml:space="preserve">FedAvg, K=20</w:t>
            </w:r>
          </w:p>
        </w:tc>
        <w:tc>
          <w:tcPr>
            <w:tcW w:w="744" w:type="dxa"/>
            <w:tcMar>
              <w:top w:w="40" w:type="dxa"/>
              <w:left w:w="80" w:type="dxa"/>
              <w:bottom w:w="40" w:type="dxa"/>
              <w:right w:w="80" w:type="dxa"/>
            </w:tcMar>
          </w:tcPr>
          <w:p>
            <w:pPr>
              <w:keepNext/>
              <w:spacing w:before="0" w:after="0" w:line="240" w:lineRule="auto"/>
              <w:jc w:val="right"/>
            </w:pPr>
            <w:r>
              <w:rPr>
                <w:sz w:val="16"/>
                <w:szCs w:val="16"/>
              </w:rPr>
              <w:t xml:space="preserve">0.0854</w:t>
            </w:r>
          </w:p>
        </w:tc>
        <w:tc>
          <w:tcPr>
            <w:tcW w:w="651" w:type="dxa"/>
            <w:tcMar>
              <w:top w:w="40" w:type="dxa"/>
              <w:left w:w="80" w:type="dxa"/>
              <w:bottom w:w="40" w:type="dxa"/>
              <w:right w:w="80" w:type="dxa"/>
            </w:tcMar>
          </w:tcPr>
          <w:p>
            <w:pPr>
              <w:keepNext/>
              <w:spacing w:before="0" w:after="0" w:line="240" w:lineRule="auto"/>
              <w:jc w:val="right"/>
            </w:pPr>
            <w:r>
              <w:rPr>
                <w:sz w:val="16"/>
                <w:szCs w:val="16"/>
              </w:rPr>
              <w:t xml:space="preserve">1.045</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+4.0</w:t>
            </w:r>
          </w:p>
        </w:tc>
        <w:tc>
          <w:tcPr>
            <w:tcW w:w="1023" w:type="dxa"/>
            <w:tcMar>
              <w:top w:w="40" w:type="dxa"/>
              <w:left w:w="80" w:type="dxa"/>
              <w:bottom w:w="40" w:type="dxa"/>
              <w:right w:w="80" w:type="dxa"/>
            </w:tcMar>
          </w:tcPr>
          <w:p>
            <w:pPr>
              <w:keepNext/>
              <w:spacing w:before="0" w:after="0" w:line="240" w:lineRule="auto"/>
              <w:jc w:val="right"/>
            </w:pPr>
            <w:r>
              <w:rPr>
                <w:sz w:val="16"/>
                <w:szCs w:val="16"/>
              </w:rPr>
              <w:t xml:space="preserve">0.0863</w:t>
            </w:r>
          </w:p>
        </w:tc>
        <w:tc>
          <w:tcPr>
            <w:tcW w:w="1116" w:type="dxa"/>
            <w:tcMar>
              <w:top w:w="40" w:type="dxa"/>
              <w:left w:w="80" w:type="dxa"/>
              <w:bottom w:w="40" w:type="dxa"/>
              <w:right w:w="80" w:type="dxa"/>
            </w:tcMar>
          </w:tcPr>
          <w:p>
            <w:pPr>
              <w:keepNext/>
              <w:spacing w:before="0" w:after="0" w:line="240" w:lineRule="auto"/>
              <w:jc w:val="right"/>
            </w:pPr>
            <w:r>
              <w:rPr>
                <w:sz w:val="16"/>
                <w:szCs w:val="16"/>
              </w:rPr>
              <w:t xml:space="preserve">1.057</w:t>
            </w:r>
          </w:p>
        </w:tc>
        <w:tc>
          <w:tcPr>
            <w:tcW w:w="1581" w:type="dxa"/>
            <w:tcMar>
              <w:top w:w="40" w:type="dxa"/>
              <w:left w:w="80" w:type="dxa"/>
              <w:bottom w:w="40" w:type="dxa"/>
              <w:right w:w="80" w:type="dxa"/>
            </w:tcMar>
          </w:tcPr>
          <w:p>
            <w:pPr>
              <w:keepNext/>
              <w:spacing w:before="0" w:after="0" w:line="240" w:lineRule="auto"/>
              <w:jc w:val="right"/>
            </w:pPr>
            <w:r>
              <w:rPr>
                <w:sz w:val="16"/>
                <w:szCs w:val="16"/>
              </w:rPr>
              <w:t xml:space="preserve">+3.1</w:t>
            </w:r>
          </w:p>
        </w:tc>
        <w:tc>
          <w:tcPr>
            <w:tcW w:w="1493"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395" w:type="dxa"/>
            <w:tcMar>
              <w:top w:w="40" w:type="dxa"/>
              <w:left w:w="80" w:type="dxa"/>
              <w:bottom w:w="40" w:type="dxa"/>
              <w:right w:w="80" w:type="dxa"/>
            </w:tcMar>
          </w:tcPr>
          <w:p>
            <w:pPr>
              <w:spacing w:before="0" w:after="0" w:line="240" w:lineRule="auto"/>
              <w:jc w:val="left"/>
            </w:pPr>
            <w:r>
              <w:rPr>
                <w:sz w:val="16"/>
                <w:szCs w:val="16"/>
              </w:rPr>
              <w:t xml:space="preserve">FedAvg, K=100</w:t>
            </w:r>
          </w:p>
        </w:tc>
        <w:tc>
          <w:tcPr>
            <w:tcW w:w="744" w:type="dxa"/>
            <w:tcMar>
              <w:top w:w="40" w:type="dxa"/>
              <w:left w:w="80" w:type="dxa"/>
              <w:bottom w:w="40" w:type="dxa"/>
              <w:right w:w="80" w:type="dxa"/>
            </w:tcMar>
          </w:tcPr>
          <w:p>
            <w:pPr>
              <w:spacing w:before="0" w:after="0" w:line="240" w:lineRule="auto"/>
              <w:jc w:val="right"/>
            </w:pPr>
            <w:r>
              <w:rPr>
                <w:sz w:val="16"/>
                <w:szCs w:val="16"/>
              </w:rPr>
              <w:t xml:space="preserve">0.0894</w:t>
            </w:r>
          </w:p>
        </w:tc>
        <w:tc>
          <w:tcPr>
            <w:tcW w:w="651" w:type="dxa"/>
            <w:tcMar>
              <w:top w:w="40" w:type="dxa"/>
              <w:left w:w="80" w:type="dxa"/>
              <w:bottom w:w="40" w:type="dxa"/>
              <w:right w:w="80" w:type="dxa"/>
            </w:tcMar>
          </w:tcPr>
          <w:p>
            <w:pPr>
              <w:spacing w:before="0" w:after="0" w:line="240" w:lineRule="auto"/>
              <w:jc w:val="right"/>
            </w:pPr>
            <w:r>
              <w:rPr>
                <w:sz w:val="16"/>
                <w:szCs w:val="16"/>
              </w:rPr>
              <w:t xml:space="preserve">1.111</w:t>
            </w:r>
          </w:p>
        </w:tc>
        <w:tc>
          <w:tcPr>
            <w:tcW w:w="1023" w:type="dxa"/>
            <w:tcMar>
              <w:top w:w="40" w:type="dxa"/>
              <w:left w:w="80" w:type="dxa"/>
              <w:bottom w:w="40" w:type="dxa"/>
              <w:right w:w="80" w:type="dxa"/>
            </w:tcMar>
          </w:tcPr>
          <w:p>
            <w:pPr>
              <w:spacing w:before="0" w:after="0" w:line="240" w:lineRule="auto"/>
              <w:jc w:val="right"/>
            </w:pPr>
            <w:r>
              <w:rPr>
                <w:sz w:val="16"/>
                <w:szCs w:val="16"/>
              </w:rPr>
              <w:t xml:space="preserve">−0.5</w:t>
            </w:r>
          </w:p>
        </w:tc>
        <w:tc>
          <w:tcPr>
            <w:tcW w:w="1023" w:type="dxa"/>
            <w:tcMar>
              <w:top w:w="40" w:type="dxa"/>
              <w:left w:w="80" w:type="dxa"/>
              <w:bottom w:w="40" w:type="dxa"/>
              <w:right w:w="80" w:type="dxa"/>
            </w:tcMar>
          </w:tcPr>
          <w:p>
            <w:pPr>
              <w:spacing w:before="0" w:after="0" w:line="240" w:lineRule="auto"/>
              <w:jc w:val="right"/>
            </w:pPr>
            <w:r>
              <w:rPr>
                <w:sz w:val="16"/>
                <w:szCs w:val="16"/>
              </w:rPr>
              <w:t xml:space="preserve">0.0919</w:t>
            </w:r>
          </w:p>
        </w:tc>
        <w:tc>
          <w:tcPr>
            <w:tcW w:w="1116" w:type="dxa"/>
            <w:tcMar>
              <w:top w:w="40" w:type="dxa"/>
              <w:left w:w="80" w:type="dxa"/>
              <w:bottom w:w="40" w:type="dxa"/>
              <w:right w:w="80" w:type="dxa"/>
            </w:tcMar>
          </w:tcPr>
          <w:p>
            <w:pPr>
              <w:spacing w:before="0" w:after="0" w:line="240" w:lineRule="auto"/>
              <w:jc w:val="right"/>
            </w:pPr>
            <w:r>
              <w:rPr>
                <w:sz w:val="16"/>
                <w:szCs w:val="16"/>
              </w:rPr>
              <w:t xml:space="preserve">1.158</w:t>
            </w:r>
          </w:p>
        </w:tc>
        <w:tc>
          <w:tcPr>
            <w:tcW w:w="1581" w:type="dxa"/>
            <w:tcMar>
              <w:top w:w="40" w:type="dxa"/>
              <w:left w:w="80" w:type="dxa"/>
              <w:bottom w:w="40" w:type="dxa"/>
              <w:right w:w="80" w:type="dxa"/>
            </w:tcMar>
          </w:tcPr>
          <w:p>
            <w:pPr>
              <w:spacing w:before="0" w:after="0" w:line="240" w:lineRule="auto"/>
              <w:jc w:val="right"/>
            </w:pPr>
            <w:r>
              <w:rPr>
                <w:sz w:val="16"/>
                <w:szCs w:val="16"/>
              </w:rPr>
              <w:t xml:space="preserve">−3.3</w:t>
            </w:r>
          </w:p>
        </w:tc>
        <w:tc>
          <w:tcPr>
            <w:tcW w:w="1493" w:type="dxa"/>
            <w:tcMar>
              <w:top w:w="40" w:type="dxa"/>
              <w:left w:w="80" w:type="dxa"/>
              <w:bottom w:w="40" w:type="dxa"/>
              <w:right w:w="80" w:type="dxa"/>
            </w:tcMar>
          </w:tcPr>
          <w:p>
            <w:pPr>
              <w:spacing w:before="0" w:after="0" w:line="240" w:lineRule="auto"/>
              <w:jc w:val="right"/>
            </w:pPr>
            <w:r>
              <w:rPr>
                <w:sz w:val="16"/>
                <w:szCs w:val="16"/>
              </w:rPr>
              <w:t xml:space="preserve">+12.8</w:t>
            </w:r>
          </w:p>
        </w:tc>
      </w:tr>
    </w:tbl>
    <w:p>
      <w:pPr>
        <w:spacing w:after="12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Pushkal Gupta; Vanka Kaushik; Kalaavathi B</dc:creator>
  <cp:lastModifiedBy>Pushkal Gupta</cp:lastModifiedBy>
  <dcterms:modified xsi:type="dcterms:W3CDTF">2026-10-04T16:40:27Z</dcterms:modified>
  <cp:revision>1</cp:revision>
  <dc:title>Supplementary material</dc:title>
  <dc:subject>Manuscript</dc:subject>
  <cp:keywords>smart meters; long short-term memory; non-IID data; communication efficiency; Low Carbon London; personalisation</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