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p>
    <w:tbl>
      <w:tblPr>
        <w:tblW w:type="auto" w:w="0"/>
        <w:jc w:val="left"/>
        <w:tblLook w:firstColumn="1" w:firstRow="1" w:lastColumn="0" w:lastRow="0" w:noHBand="0" w:noVBand="1" w:val="04A0"/>
      </w:tblPr>
      <w:tblGrid>
        <w:gridCol w:w="9638"/>
      </w:tblGrid>
      <w:tr>
        <w:tc>
          <w:tcPr>
            <w:tcW w:type="dxa" w:w="9638"/>
            <w:shd w:val="clear" w:color="auto" w:fill="0B3B2E"/>
            <w:tcMar>
              <w:top w:w="190" w:type="dxa"/>
              <w:bottom w:w="190" w:type="dxa"/>
              <w:start w:w="220" w:type="dxa"/>
              <w:end w:w="220" w:type="dxa"/>
            </w:tcMar>
          </w:tcPr>
          <w:p>
            <w:pPr>
              <w:spacing w:after="0"/>
            </w:pPr>
            <w:r>
              <w:rPr>
                <w:b/>
                <w:color w:val="9FF5D2"/>
                <w:sz w:val="17"/>
              </w:rPr>
              <w:t>3RD SEMESTER  ·  MACHINE LEARNING PROJECT</w:t>
            </w:r>
          </w:p>
        </w:tc>
      </w:tr>
    </w:tbl>
    <w:p>
      <w:pPr>
        <w:spacing w:before="720" w:after="160"/>
      </w:pPr>
      <w:r>
        <w:rPr>
          <w:rFonts w:ascii="Calibri" w:hAnsi="Calibri"/>
          <w:b/>
          <w:color w:val="0B1F1A"/>
          <w:sz w:val="76"/>
        </w:rPr>
        <w:t>Telco Customer Churn</w:t>
        <w:br/>
        <w:t>Intelligence</w:t>
      </w:r>
    </w:p>
    <w:p>
      <w:pPr>
        <w:spacing w:after="480"/>
      </w:pPr>
      <w:r>
        <w:rPr>
          <w:rFonts w:ascii="Calibri" w:hAnsi="Calibri"/>
          <w:color w:val="5E746B"/>
          <w:sz w:val="27"/>
        </w:rPr>
        <w:t>An explainable machine-learning system for churn prediction, risk scoring and personalised retention recommendations.</w:t>
      </w:r>
    </w:p>
    <w:p>
      <w:pPr>
        <w:spacing w:after="440"/>
        <w:pBdr>
          <w:bottom w:val="single" w:sz="18" w:space="1" w:color="2FF0A3"/>
        </w:pBdr>
      </w:pPr>
    </w:p>
    <w:p>
      <w:pPr>
        <w:spacing w:after="60"/>
      </w:pPr>
      <w:r>
        <w:rPr>
          <w:b/>
          <w:color w:val="5E746B"/>
          <w:sz w:val="17"/>
        </w:rPr>
        <w:t>Submitted by</w:t>
      </w:r>
    </w:p>
    <w:p>
      <w:pPr>
        <w:spacing w:after="40"/>
      </w:pPr>
      <w:r>
        <w:rPr>
          <w:b/>
          <w:color w:val="0B1F1A"/>
          <w:sz w:val="24"/>
        </w:rPr>
        <w:t>Pushkar</w:t>
      </w:r>
      <w:r>
        <w:rPr>
          <w:color w:val="5E746B"/>
          <w:sz w:val="18"/>
        </w:rPr>
        <w:t xml:space="preserve">   Project lead · ML &amp; backend</w:t>
      </w:r>
    </w:p>
    <w:p>
      <w:pPr>
        <w:spacing w:after="40"/>
      </w:pPr>
      <w:r>
        <w:rPr>
          <w:b/>
          <w:color w:val="0B1F1A"/>
          <w:sz w:val="24"/>
        </w:rPr>
        <w:t>Karan</w:t>
      </w:r>
      <w:r>
        <w:rPr>
          <w:color w:val="5E746B"/>
          <w:sz w:val="18"/>
        </w:rPr>
        <w:t xml:space="preserve">   Research · frontend &amp; visual design</w:t>
      </w:r>
    </w:p>
    <w:p>
      <w:pPr>
        <w:spacing w:after="40"/>
      </w:pPr>
      <w:r>
        <w:rPr>
          <w:b/>
          <w:color w:val="0B1F1A"/>
          <w:sz w:val="24"/>
        </w:rPr>
        <w:t>Shaurya</w:t>
      </w:r>
      <w:r>
        <w:rPr>
          <w:color w:val="5E746B"/>
          <w:sz w:val="18"/>
        </w:rPr>
        <w:t xml:space="preserve">   Data validation · testing &amp; documentation support</w:t>
      </w:r>
    </w:p>
    <w:p>
      <w:pPr>
        <w:spacing w:before="1400"/>
      </w:pPr>
      <w:r>
        <w:rPr>
          <w:i/>
          <w:color w:val="5E746B"/>
          <w:sz w:val="16"/>
        </w:rPr>
        <w:t>Python 3.12  ·  scikit-learn  ·  XGBoost  ·  SHAP  ·  FastAPI  ·  SQLite  ·  React + Vite dashboard</w:t>
      </w:r>
    </w:p>
    <w:p>
      <w:r>
        <w:br w:type="page"/>
      </w:r>
    </w:p>
    <w:p>
      <w:pPr>
        <w:pStyle w:val="Heading1"/>
        <w:keepNext/>
        <w:spacing w:before="240" w:after="100"/>
      </w:pPr>
      <w:r>
        <w:t>Contents</w:t>
      </w:r>
    </w:p>
    <w:p>
      <w:pPr>
        <w:spacing w:after="80"/>
      </w:pPr>
      <w:r>
        <w:rPr>
          <w:b/>
          <w:color w:val="0EA96F"/>
          <w:sz w:val="21"/>
        </w:rPr>
        <w:t>1.</w:t>
      </w:r>
      <w:r>
        <w:rPr>
          <w:color w:val="0B1F1A"/>
          <w:sz w:val="21"/>
        </w:rPr>
        <w:t xml:space="preserve">   Executive summary</w:t>
      </w:r>
    </w:p>
    <w:p>
      <w:pPr>
        <w:spacing w:after="80"/>
      </w:pPr>
      <w:r>
        <w:rPr>
          <w:b/>
          <w:color w:val="0EA96F"/>
          <w:sz w:val="21"/>
        </w:rPr>
        <w:t>2.</w:t>
      </w:r>
      <w:r>
        <w:rPr>
          <w:color w:val="0B1F1A"/>
          <w:sz w:val="21"/>
        </w:rPr>
        <w:t xml:space="preserve">   Problem statement and objectives</w:t>
      </w:r>
    </w:p>
    <w:p>
      <w:pPr>
        <w:spacing w:after="80"/>
      </w:pPr>
      <w:r>
        <w:rPr>
          <w:b/>
          <w:color w:val="0EA96F"/>
          <w:sz w:val="21"/>
        </w:rPr>
        <w:t>3.</w:t>
      </w:r>
      <w:r>
        <w:rPr>
          <w:color w:val="0B1F1A"/>
          <w:sz w:val="21"/>
        </w:rPr>
        <w:t xml:space="preserve">   Dataset</w:t>
      </w:r>
    </w:p>
    <w:p>
      <w:pPr>
        <w:spacing w:after="80"/>
      </w:pPr>
      <w:r>
        <w:rPr>
          <w:b/>
          <w:color w:val="0EA96F"/>
          <w:sz w:val="21"/>
        </w:rPr>
        <w:t>4.</w:t>
      </w:r>
      <w:r>
        <w:rPr>
          <w:color w:val="0B1F1A"/>
          <w:sz w:val="21"/>
        </w:rPr>
        <w:t xml:space="preserve">   Exploratory data analysis</w:t>
      </w:r>
    </w:p>
    <w:p>
      <w:pPr>
        <w:spacing w:after="80"/>
      </w:pPr>
      <w:r>
        <w:rPr>
          <w:b/>
          <w:color w:val="0EA96F"/>
          <w:sz w:val="21"/>
        </w:rPr>
        <w:t>5.</w:t>
      </w:r>
      <w:r>
        <w:rPr>
          <w:color w:val="0B1F1A"/>
          <w:sz w:val="21"/>
        </w:rPr>
        <w:t xml:space="preserve">   Preprocessing and feature engineering</w:t>
      </w:r>
    </w:p>
    <w:p>
      <w:pPr>
        <w:spacing w:after="80"/>
      </w:pPr>
      <w:r>
        <w:rPr>
          <w:b/>
          <w:color w:val="0EA96F"/>
          <w:sz w:val="21"/>
        </w:rPr>
        <w:t>6.</w:t>
      </w:r>
      <w:r>
        <w:rPr>
          <w:color w:val="0B1F1A"/>
          <w:sz w:val="21"/>
        </w:rPr>
        <w:t xml:space="preserve">   Models and methodology</w:t>
      </w:r>
    </w:p>
    <w:p>
      <w:pPr>
        <w:spacing w:after="80"/>
      </w:pPr>
      <w:r>
        <w:rPr>
          <w:b/>
          <w:color w:val="0EA96F"/>
          <w:sz w:val="21"/>
        </w:rPr>
        <w:t>7.</w:t>
      </w:r>
      <w:r>
        <w:rPr>
          <w:color w:val="0B1F1A"/>
          <w:sz w:val="21"/>
        </w:rPr>
        <w:t xml:space="preserve">   Results and model selection</w:t>
      </w:r>
    </w:p>
    <w:p>
      <w:pPr>
        <w:spacing w:after="80"/>
      </w:pPr>
      <w:r>
        <w:rPr>
          <w:b/>
          <w:color w:val="0EA96F"/>
          <w:sz w:val="21"/>
        </w:rPr>
        <w:t>8.</w:t>
      </w:r>
      <w:r>
        <w:rPr>
          <w:color w:val="0B1F1A"/>
          <w:sz w:val="21"/>
        </w:rPr>
        <w:t xml:space="preserve">   Explainability</w:t>
      </w:r>
    </w:p>
    <w:p>
      <w:pPr>
        <w:spacing w:after="80"/>
      </w:pPr>
      <w:r>
        <w:rPr>
          <w:b/>
          <w:color w:val="0EA96F"/>
          <w:sz w:val="21"/>
        </w:rPr>
        <w:t>9.</w:t>
      </w:r>
      <w:r>
        <w:rPr>
          <w:color w:val="0B1F1A"/>
          <w:sz w:val="21"/>
        </w:rPr>
        <w:t xml:space="preserve">   Risk scoring and business value</w:t>
      </w:r>
    </w:p>
    <w:p>
      <w:pPr>
        <w:spacing w:after="80"/>
      </w:pPr>
      <w:r>
        <w:rPr>
          <w:b/>
          <w:color w:val="0EA96F"/>
          <w:sz w:val="21"/>
        </w:rPr>
        <w:t>10.</w:t>
      </w:r>
      <w:r>
        <w:rPr>
          <w:color w:val="0B1F1A"/>
          <w:sz w:val="21"/>
        </w:rPr>
        <w:t xml:space="preserve">   Retention recommendation engine</w:t>
      </w:r>
    </w:p>
    <w:p>
      <w:pPr>
        <w:spacing w:after="80"/>
      </w:pPr>
      <w:r>
        <w:rPr>
          <w:b/>
          <w:color w:val="0EA96F"/>
          <w:sz w:val="21"/>
        </w:rPr>
        <w:t>11.</w:t>
      </w:r>
      <w:r>
        <w:rPr>
          <w:color w:val="0B1F1A"/>
          <w:sz w:val="21"/>
        </w:rPr>
        <w:t xml:space="preserve">   System architecture and API</w:t>
      </w:r>
    </w:p>
    <w:p>
      <w:pPr>
        <w:spacing w:after="80"/>
      </w:pPr>
      <w:r>
        <w:rPr>
          <w:b/>
          <w:color w:val="0EA96F"/>
          <w:sz w:val="21"/>
        </w:rPr>
        <w:t>12.</w:t>
      </w:r>
      <w:r>
        <w:rPr>
          <w:color w:val="0B1F1A"/>
          <w:sz w:val="21"/>
        </w:rPr>
        <w:t xml:space="preserve">   Frontend, database and step-by-step tutorial</w:t>
      </w:r>
    </w:p>
    <w:p>
      <w:pPr>
        <w:spacing w:after="80"/>
      </w:pPr>
      <w:r>
        <w:rPr>
          <w:b/>
          <w:color w:val="0EA96F"/>
          <w:sz w:val="21"/>
        </w:rPr>
        <w:t>13.</w:t>
      </w:r>
      <w:r>
        <w:rPr>
          <w:color w:val="0B1F1A"/>
          <w:sz w:val="21"/>
        </w:rPr>
        <w:t xml:space="preserve">   Testing and quality</w:t>
      </w:r>
    </w:p>
    <w:p>
      <w:pPr>
        <w:spacing w:after="80"/>
      </w:pPr>
      <w:r>
        <w:rPr>
          <w:b/>
          <w:color w:val="0EA96F"/>
          <w:sz w:val="21"/>
        </w:rPr>
        <w:t>14.</w:t>
      </w:r>
      <w:r>
        <w:rPr>
          <w:color w:val="0B1F1A"/>
          <w:sz w:val="21"/>
        </w:rPr>
        <w:t xml:space="preserve">   Limitations, ethics and future work</w:t>
      </w:r>
    </w:p>
    <w:p>
      <w:pPr>
        <w:spacing w:after="80"/>
      </w:pPr>
      <w:r>
        <w:rPr>
          <w:b/>
          <w:color w:val="0EA96F"/>
          <w:sz w:val="21"/>
        </w:rPr>
        <w:t>15.</w:t>
      </w:r>
      <w:r>
        <w:rPr>
          <w:color w:val="0B1F1A"/>
          <w:sz w:val="21"/>
        </w:rPr>
        <w:t xml:space="preserve">   Viva preparation: 40 questions and answers</w:t>
      </w:r>
    </w:p>
    <w:p>
      <w:pPr>
        <w:spacing w:after="80"/>
      </w:pPr>
      <w:r>
        <w:rPr>
          <w:b/>
          <w:color w:val="0EA96F"/>
          <w:sz w:val="21"/>
        </w:rPr>
        <w:t>16.</w:t>
      </w:r>
      <w:r>
        <w:rPr>
          <w:color w:val="0B1F1A"/>
          <w:sz w:val="21"/>
        </w:rPr>
        <w:t xml:space="preserve">   Team contributions</w:t>
      </w:r>
    </w:p>
    <w:p>
      <w:pPr>
        <w:spacing w:after="80"/>
      </w:pPr>
      <w:r>
        <w:rPr>
          <w:b/>
          <w:color w:val="0EA96F"/>
          <w:sz w:val="21"/>
        </w:rPr>
        <w:t>17.</w:t>
      </w:r>
      <w:r>
        <w:rPr>
          <w:color w:val="0B1F1A"/>
          <w:sz w:val="21"/>
        </w:rPr>
        <w:t xml:space="preserve">   Master prompt for a free Claude presentation</w:t>
      </w:r>
    </w:p>
    <w:p>
      <w:pPr>
        <w:spacing w:after="80"/>
      </w:pPr>
      <w:r>
        <w:rPr>
          <w:b/>
          <w:color w:val="0EA96F"/>
          <w:sz w:val="21"/>
        </w:rPr>
        <w:t>18.</w:t>
      </w:r>
      <w:r>
        <w:rPr>
          <w:color w:val="0B1F1A"/>
          <w:sz w:val="21"/>
        </w:rPr>
        <w:t xml:space="preserve">   Glossary</w:t>
      </w:r>
    </w:p>
    <w:p>
      <w:pPr>
        <w:spacing w:after="80"/>
      </w:pPr>
      <w:r>
        <w:rPr>
          <w:b/>
          <w:color w:val="0EA96F"/>
          <w:sz w:val="21"/>
        </w:rPr>
        <w:t>19.</w:t>
      </w:r>
      <w:r>
        <w:rPr>
          <w:color w:val="0B1F1A"/>
          <w:sz w:val="21"/>
        </w:rPr>
        <w:t xml:space="preserve">   References</w:t>
      </w:r>
    </w:p>
    <w:p>
      <w:r>
        <w:br w:type="page"/>
      </w:r>
    </w:p>
    <w:p>
      <w:pPr>
        <w:pStyle w:val="Heading1"/>
        <w:keepNext/>
        <w:spacing w:before="240" w:after="100"/>
      </w:pPr>
      <w:r>
        <w:t>1. Executive summary</w:t>
      </w:r>
    </w:p>
    <w:p>
      <w:pPr>
        <w:spacing w:after="140" w:line="307" w:lineRule="auto"/>
      </w:pPr>
      <w:r>
        <w:rPr>
          <w:i w:val="0"/>
        </w:rPr>
        <w:t>Customer churn is the loss of existing customers to a competitor or to a cancelled subscription. It directly reduces recurring revenue and makes growth expensive because replacing a lost customer usually costs more than retaining one. This project builds an end-to-end, explainable churn intelligence system on the public IBM Telco Customer Churn dataset. The system predicts whether a customer is likely to leave, quantifies the risk, explains the drivers behind each score and converts that evidence into a personalised retention playbook.</w:t>
      </w:r>
    </w:p>
    <w:p>
      <w:pPr>
        <w:spacing w:after="140" w:line="307" w:lineRule="auto"/>
      </w:pPr>
      <w:r>
        <w:rPr>
          <w:i w:val="0"/>
        </w:rPr>
        <w:t>Six classifiers were compared under an identical preprocessing pipeline and a stratified 5-fold cross-validation protocol. Logistic Regression won on the pre-registered selection metric with a CV ROC-AUC of 0.8475 (σ 0.0118). On the untouched test set it achieved ROC-AUC 0.8456, PR-AUC 0.6519, recall 74.1% and F1 0.625 at the deployed threshold of 0.32.</w:t>
      </w:r>
    </w:p>
    <w:p>
      <w:pPr>
        <w:spacing w:after="140" w:line="307" w:lineRule="auto"/>
      </w:pPr>
      <w:r>
        <w:rPr>
          <w:i w:val="0"/>
        </w:rPr>
        <w:t>The system is more than a classifier. SHAP explanations translate model behaviour into customer-level reasons, risk bands turn probabilities into an operational queue, and a 14-rule retention engine produces concrete offers. A FastAPI backend exposes the model, the customer book, analytics and saved actions. A dark, responsive web dashboard served at /app/ lets a retention team search customers, inspect a score, save actions and close the loop with real outcomes. SQLite provides the audit trail and action workflow with no server installation and no authentication required for the local demo.</w:t>
      </w:r>
    </w:p>
    <w:tbl>
      <w:tblPr>
        <w:tblW w:type="auto" w:w="0"/>
        <w:jc w:val="center"/>
        <w:tblLook w:firstColumn="1" w:firstRow="1" w:lastColumn="0" w:lastRow="0" w:noHBand="0" w:noVBand="1" w:val="04A0"/>
        <w:tblBorders>
          <w:top w:val="single" w:sz="6" w:space="0" w:color="BFE8D5"/>
          <w:left w:val="single" w:sz="6" w:space="0" w:color="BFE8D5"/>
          <w:bottom w:val="single" w:sz="6" w:space="0" w:color="BFE8D5"/>
          <w:right w:val="single" w:sz="6" w:space="0" w:color="BFE8D5"/>
          <w:insideH w:val="single" w:sz="6" w:space="0" w:color="BFE8D5"/>
          <w:insideV w:val="single" w:sz="6" w:space="0" w:color="BFE8D5"/>
        </w:tblBorders>
      </w:tblPr>
      <w:tblGrid>
        <w:gridCol w:w="9638"/>
      </w:tblGrid>
      <w:tr>
        <w:tc>
          <w:tcPr>
            <w:tcW w:type="dxa" w:w="9638"/>
            <w:shd w:val="clear" w:color="auto" w:fill="F1FAF6"/>
            <w:tcMar>
              <w:top w:w="130" w:type="dxa"/>
              <w:bottom w:w="130" w:type="dxa"/>
              <w:start w:w="170" w:type="dxa"/>
              <w:end w:w="170" w:type="dxa"/>
            </w:tcMar>
          </w:tcPr>
          <w:p>
            <w:pPr>
              <w:spacing w:after="60"/>
            </w:pPr>
            <w:r>
              <w:rPr>
                <w:b/>
                <w:color w:val="0EA96F"/>
                <w:sz w:val="19"/>
              </w:rPr>
              <w:t>Headline result</w:t>
            </w:r>
          </w:p>
          <w:p>
            <w:pPr>
              <w:spacing w:after="0" w:line="288" w:lineRule="auto"/>
            </w:pPr>
            <w:r>
              <w:rPr>
                <w:color w:val="0B1F1A"/>
                <w:sz w:val="18"/>
              </w:rPr>
              <w:t>Logistic Regression · CV ROC-AUC 0.8475 · test ROC-AUC 0.8456 · threshold 0.32 · recall 74.1% · 7,043 customers scored.</w:t>
            </w:r>
          </w:p>
        </w:tc>
      </w:tr>
    </w:tbl>
    <w:p>
      <w:pPr>
        <w:spacing w:after="40"/>
      </w:pPr>
    </w:p>
    <w:p>
      <w:r>
        <w:br w:type="page"/>
      </w:r>
    </w:p>
    <w:p>
      <w:pPr>
        <w:pStyle w:val="Heading1"/>
        <w:keepNext/>
        <w:spacing w:before="240" w:after="100"/>
      </w:pPr>
      <w:r>
        <w:t>2. Problem statement and objectives</w:t>
      </w:r>
    </w:p>
    <w:p>
      <w:pPr>
        <w:spacing w:after="140" w:line="307" w:lineRule="auto"/>
      </w:pPr>
      <w:r>
        <w:rPr>
          <w:i w:val="0"/>
        </w:rPr>
        <w:t>Traditional churn analysis relies on historical summaries and manual rules. Such analysis is slow, hard to reproduce and rarely explains why a particular customer is at risk. A basic machine-learning model can produce a probability, but a probability alone does not tell a retention agent what to do next. The project therefore addresses three gaps: prediction quality, explanation and action.</w:t>
      </w:r>
    </w:p>
    <w:p>
      <w:pPr>
        <w:pStyle w:val="Heading2"/>
        <w:keepNext/>
        <w:spacing w:before="180" w:after="100"/>
      </w:pPr>
      <w:r>
        <w:t>2.1 Objectives</w:t>
      </w:r>
    </w:p>
    <w:p>
      <w:pPr>
        <w:pStyle w:val="ListBullet"/>
        <w:spacing w:after="60"/>
      </w:pPr>
      <w:r>
        <w:t>Build a reproducible binary classifier that predicts churn from customer attributes.</w:t>
      </w:r>
    </w:p>
    <w:p>
      <w:pPr>
        <w:pStyle w:val="ListBullet"/>
        <w:spacing w:after="60"/>
      </w:pPr>
      <w:r>
        <w:t>Compare Logistic Regression, Decision Tree, Random Forest, XGBoost, KNN and SVM fairly.</w:t>
      </w:r>
    </w:p>
    <w:p>
      <w:pPr>
        <w:pStyle w:val="ListBullet"/>
        <w:spacing w:after="60"/>
      </w:pPr>
      <w:r>
        <w:t>Select the final model using 5-fold cross-validated ROC-AUC.</w:t>
      </w:r>
    </w:p>
    <w:p>
      <w:pPr>
        <w:pStyle w:val="ListBullet"/>
        <w:spacing w:after="60"/>
      </w:pPr>
      <w:r>
        <w:t>Quantify churn probability and assign a business-friendly risk band.</w:t>
      </w:r>
    </w:p>
    <w:p>
      <w:pPr>
        <w:pStyle w:val="ListBullet"/>
        <w:spacing w:after="60"/>
      </w:pPr>
      <w:r>
        <w:t>Explain global and per-customer predictions using coefficients, feature importance and SHAP.</w:t>
      </w:r>
    </w:p>
    <w:p>
      <w:pPr>
        <w:pStyle w:val="ListBullet"/>
        <w:spacing w:after="60"/>
      </w:pPr>
      <w:r>
        <w:t>Generate personalised retention recommendations for high-risk customers.</w:t>
      </w:r>
    </w:p>
    <w:p>
      <w:pPr>
        <w:pStyle w:val="ListBullet"/>
        <w:spacing w:after="60"/>
      </w:pPr>
      <w:r>
        <w:t>Expose the system through a documented FastAPI backend and a usable web dashboard.</w:t>
      </w:r>
    </w:p>
    <w:p>
      <w:pPr>
        <w:pStyle w:val="ListBullet"/>
        <w:spacing w:after="60"/>
      </w:pPr>
      <w:r>
        <w:t>Persist predictions, feedback and saved actions in a lightweight operational database.</w:t>
      </w:r>
    </w:p>
    <w:p>
      <w:pPr>
        <w:pStyle w:val="Heading2"/>
        <w:keepNext/>
        <w:spacing w:before="180" w:after="100"/>
      </w:pPr>
      <w:r>
        <w:t>2.2 Scope and non-goals</w:t>
      </w:r>
    </w:p>
    <w:p>
      <w:pPr>
        <w:spacing w:after="140" w:line="307" w:lineRule="auto"/>
      </w:pPr>
      <w:r>
        <w:rPr>
          <w:i w:val="0"/>
        </w:rPr>
        <w:t>The project is a decision-support prototype. It does not make autonomous offers, does not use causal inference and does not claim that a SHAP value is the customer's true reason for leaving. Authentication, multi-tenant access control, payment and production-scale data pipelines are deliberately out of scope for the semester demonstration.</w:t>
      </w:r>
    </w:p>
    <w:p>
      <w:r>
        <w:br w:type="page"/>
      </w:r>
    </w:p>
    <w:p>
      <w:pPr>
        <w:pStyle w:val="Heading1"/>
        <w:keepNext/>
        <w:spacing w:before="240" w:after="100"/>
      </w:pPr>
      <w:r>
        <w:t>3. Dataset</w:t>
      </w:r>
    </w:p>
    <w:p>
      <w:pPr>
        <w:spacing w:after="140" w:line="307" w:lineRule="auto"/>
      </w:pPr>
      <w:r>
        <w:rPr>
          <w:i w:val="0"/>
        </w:rPr>
        <w:t>The system uses the IBM Telco Customer Churn dataset, publicly available on Kaggle (blastchar/telco-customer-churn). It contains one row per customer and is widely used as a benchmark for tabular binary classification.</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4819"/>
        <w:gridCol w:w="4819"/>
      </w:tblGrid>
      <w:tr>
        <w:trPr>
          <w:tblHeader w:val="true"/>
        </w:trPr>
        <w:tc>
          <w:tcPr>
            <w:tcW w:type="dxa" w:w="2880"/>
            <w:shd w:val="clear" w:color="auto" w:fill="0B3B2E"/>
            <w:tcMar>
              <w:top w:w="70" w:type="dxa"/>
              <w:bottom w:w="70" w:type="dxa"/>
              <w:start w:w="90" w:type="dxa"/>
              <w:end w:w="90" w:type="dxa"/>
            </w:tcMar>
          </w:tcPr>
          <w:p>
            <w:pPr>
              <w:spacing w:after="0"/>
            </w:pPr>
            <w:r>
              <w:rPr>
                <w:rFonts w:ascii="Calibri" w:hAnsi="Calibri"/>
                <w:b/>
                <w:color w:val="FFFFFF"/>
                <w:sz w:val="16"/>
              </w:rPr>
              <w:t>Property</w:t>
            </w:r>
          </w:p>
        </w:tc>
        <w:tc>
          <w:tcPr>
            <w:tcW w:type="dxa" w:w="6624"/>
            <w:shd w:val="clear" w:color="auto" w:fill="0B3B2E"/>
            <w:tcMar>
              <w:top w:w="70" w:type="dxa"/>
              <w:bottom w:w="70" w:type="dxa"/>
              <w:start w:w="90" w:type="dxa"/>
              <w:end w:w="90" w:type="dxa"/>
            </w:tcMar>
          </w:tcPr>
          <w:p>
            <w:pPr>
              <w:spacing w:after="0"/>
            </w:pPr>
            <w:r>
              <w:rPr>
                <w:rFonts w:ascii="Calibri" w:hAnsi="Calibri"/>
                <w:b/>
                <w:color w:val="FFFFFF"/>
                <w:sz w:val="16"/>
              </w:rPr>
              <w:t>Value</w:t>
            </w:r>
          </w:p>
        </w:tc>
      </w:tr>
      <w:tr>
        <w:tc>
          <w:tcPr>
            <w:tcW w:type="dxa" w:w="2880"/>
            <w:tcMar>
              <w:top w:w="70" w:type="dxa"/>
              <w:bottom w:w="70" w:type="dxa"/>
              <w:start w:w="90" w:type="dxa"/>
              <w:end w:w="90" w:type="dxa"/>
            </w:tcMar>
          </w:tcPr>
          <w:p>
            <w:pPr>
              <w:spacing w:after="0" w:line="252" w:lineRule="auto"/>
            </w:pPr>
            <w:r>
              <w:rPr>
                <w:rFonts w:ascii="Calibri" w:hAnsi="Calibri"/>
                <w:color w:val="0B1F1A"/>
                <w:sz w:val="16"/>
              </w:rPr>
              <w:t>Rows</w:t>
            </w:r>
          </w:p>
        </w:tc>
        <w:tc>
          <w:tcPr>
            <w:tcW w:type="dxa" w:w="6624"/>
            <w:tcMar>
              <w:top w:w="70" w:type="dxa"/>
              <w:bottom w:w="70" w:type="dxa"/>
              <w:start w:w="90" w:type="dxa"/>
              <w:end w:w="90" w:type="dxa"/>
            </w:tcMar>
          </w:tcPr>
          <w:p>
            <w:pPr>
              <w:spacing w:after="0" w:line="252" w:lineRule="auto"/>
            </w:pPr>
            <w:r>
              <w:rPr>
                <w:rFonts w:ascii="Calibri" w:hAnsi="Calibri"/>
                <w:color w:val="0B1F1A"/>
                <w:sz w:val="16"/>
              </w:rPr>
              <w:t>7,043</w:t>
            </w:r>
          </w:p>
        </w:tc>
      </w:tr>
      <w:tr>
        <w:tc>
          <w:tcPr>
            <w:tcW w:type="dxa" w:w="2880"/>
            <w:tcMar>
              <w:top w:w="70" w:type="dxa"/>
              <w:bottom w:w="70" w:type="dxa"/>
              <w:start w:w="90" w:type="dxa"/>
              <w:end w:w="90" w:type="dxa"/>
            </w:tcMar>
            <w:shd w:val="clear" w:color="auto" w:fill="F5FAF8"/>
          </w:tcPr>
          <w:p>
            <w:pPr>
              <w:spacing w:after="0" w:line="252" w:lineRule="auto"/>
            </w:pPr>
            <w:r>
              <w:rPr>
                <w:rFonts w:ascii="Calibri" w:hAnsi="Calibri"/>
                <w:color w:val="0B1F1A"/>
                <w:sz w:val="16"/>
              </w:rPr>
              <w:t>Raw columns</w:t>
            </w:r>
          </w:p>
        </w:tc>
        <w:tc>
          <w:tcPr>
            <w:tcW w:type="dxa" w:w="6624"/>
            <w:tcMar>
              <w:top w:w="70" w:type="dxa"/>
              <w:bottom w:w="70" w:type="dxa"/>
              <w:start w:w="90" w:type="dxa"/>
              <w:end w:w="90" w:type="dxa"/>
            </w:tcMar>
            <w:shd w:val="clear" w:color="auto" w:fill="F5FAF8"/>
          </w:tcPr>
          <w:p>
            <w:pPr>
              <w:spacing w:after="0" w:line="252" w:lineRule="auto"/>
            </w:pPr>
            <w:r>
              <w:rPr>
                <w:rFonts w:ascii="Calibri" w:hAnsi="Calibri"/>
                <w:color w:val="0B1F1A"/>
                <w:sz w:val="16"/>
              </w:rPr>
              <w:t>21</w:t>
            </w:r>
          </w:p>
        </w:tc>
      </w:tr>
      <w:tr>
        <w:tc>
          <w:tcPr>
            <w:tcW w:type="dxa" w:w="2880"/>
            <w:tcMar>
              <w:top w:w="70" w:type="dxa"/>
              <w:bottom w:w="70" w:type="dxa"/>
              <w:start w:w="90" w:type="dxa"/>
              <w:end w:w="90" w:type="dxa"/>
            </w:tcMar>
          </w:tcPr>
          <w:p>
            <w:pPr>
              <w:spacing w:after="0" w:line="252" w:lineRule="auto"/>
            </w:pPr>
            <w:r>
              <w:rPr>
                <w:rFonts w:ascii="Calibri" w:hAnsi="Calibri"/>
                <w:color w:val="0B1F1A"/>
                <w:sz w:val="16"/>
              </w:rPr>
              <w:t>Unique customers</w:t>
            </w:r>
          </w:p>
        </w:tc>
        <w:tc>
          <w:tcPr>
            <w:tcW w:type="dxa" w:w="6624"/>
            <w:tcMar>
              <w:top w:w="70" w:type="dxa"/>
              <w:bottom w:w="70" w:type="dxa"/>
              <w:start w:w="90" w:type="dxa"/>
              <w:end w:w="90" w:type="dxa"/>
            </w:tcMar>
          </w:tcPr>
          <w:p>
            <w:pPr>
              <w:spacing w:after="0" w:line="252" w:lineRule="auto"/>
            </w:pPr>
            <w:r>
              <w:rPr>
                <w:rFonts w:ascii="Calibri" w:hAnsi="Calibri"/>
                <w:color w:val="0B1F1A"/>
                <w:sz w:val="16"/>
              </w:rPr>
              <w:t>7,043</w:t>
            </w:r>
          </w:p>
        </w:tc>
      </w:tr>
      <w:tr>
        <w:tc>
          <w:tcPr>
            <w:tcW w:type="dxa" w:w="2880"/>
            <w:tcMar>
              <w:top w:w="70" w:type="dxa"/>
              <w:bottom w:w="70" w:type="dxa"/>
              <w:start w:w="90" w:type="dxa"/>
              <w:end w:w="90" w:type="dxa"/>
            </w:tcMar>
            <w:shd w:val="clear" w:color="auto" w:fill="F5FAF8"/>
          </w:tcPr>
          <w:p>
            <w:pPr>
              <w:spacing w:after="0" w:line="252" w:lineRule="auto"/>
            </w:pPr>
            <w:r>
              <w:rPr>
                <w:rFonts w:ascii="Calibri" w:hAnsi="Calibri"/>
                <w:color w:val="0B1F1A"/>
                <w:sz w:val="16"/>
              </w:rPr>
              <w:t>Target</w:t>
            </w:r>
          </w:p>
        </w:tc>
        <w:tc>
          <w:tcPr>
            <w:tcW w:type="dxa" w:w="6624"/>
            <w:tcMar>
              <w:top w:w="70" w:type="dxa"/>
              <w:bottom w:w="70" w:type="dxa"/>
              <w:start w:w="90" w:type="dxa"/>
              <w:end w:w="90" w:type="dxa"/>
            </w:tcMar>
            <w:shd w:val="clear" w:color="auto" w:fill="F5FAF8"/>
          </w:tcPr>
          <w:p>
            <w:pPr>
              <w:spacing w:after="0" w:line="252" w:lineRule="auto"/>
            </w:pPr>
            <w:r>
              <w:rPr>
                <w:rFonts w:ascii="Calibri" w:hAnsi="Calibri"/>
                <w:color w:val="0B1F1A"/>
                <w:sz w:val="16"/>
              </w:rPr>
              <w:t>Churn: Yes / No → 1 / 0</w:t>
            </w:r>
          </w:p>
        </w:tc>
      </w:tr>
      <w:tr>
        <w:tc>
          <w:tcPr>
            <w:tcW w:type="dxa" w:w="2880"/>
            <w:tcMar>
              <w:top w:w="70" w:type="dxa"/>
              <w:bottom w:w="70" w:type="dxa"/>
              <w:start w:w="90" w:type="dxa"/>
              <w:end w:w="90" w:type="dxa"/>
            </w:tcMar>
          </w:tcPr>
          <w:p>
            <w:pPr>
              <w:spacing w:after="0" w:line="252" w:lineRule="auto"/>
            </w:pPr>
            <w:r>
              <w:rPr>
                <w:rFonts w:ascii="Calibri" w:hAnsi="Calibri"/>
                <w:color w:val="0B1F1A"/>
                <w:sz w:val="16"/>
              </w:rPr>
              <w:t>Churn rate</w:t>
            </w:r>
          </w:p>
        </w:tc>
        <w:tc>
          <w:tcPr>
            <w:tcW w:type="dxa" w:w="6624"/>
            <w:tcMar>
              <w:top w:w="70" w:type="dxa"/>
              <w:bottom w:w="70" w:type="dxa"/>
              <w:start w:w="90" w:type="dxa"/>
              <w:end w:w="90" w:type="dxa"/>
            </w:tcMar>
          </w:tcPr>
          <w:p>
            <w:pPr>
              <w:spacing w:after="0" w:line="252" w:lineRule="auto"/>
            </w:pPr>
            <w:r>
              <w:rPr>
                <w:rFonts w:ascii="Calibri" w:hAnsi="Calibri"/>
                <w:color w:val="0B1F1A"/>
                <w:sz w:val="16"/>
              </w:rPr>
              <w:t>26.54%</w:t>
            </w:r>
          </w:p>
        </w:tc>
      </w:tr>
      <w:tr>
        <w:tc>
          <w:tcPr>
            <w:tcW w:type="dxa" w:w="2880"/>
            <w:tcMar>
              <w:top w:w="70" w:type="dxa"/>
              <w:bottom w:w="70" w:type="dxa"/>
              <w:start w:w="90" w:type="dxa"/>
              <w:end w:w="90" w:type="dxa"/>
            </w:tcMar>
            <w:shd w:val="clear" w:color="auto" w:fill="F5FAF8"/>
          </w:tcPr>
          <w:p>
            <w:pPr>
              <w:spacing w:after="0" w:line="252" w:lineRule="auto"/>
            </w:pPr>
            <w:r>
              <w:rPr>
                <w:rFonts w:ascii="Calibri" w:hAnsi="Calibri"/>
                <w:color w:val="0B1F1A"/>
                <w:sz w:val="16"/>
              </w:rPr>
              <w:t>Train / test split</w:t>
            </w:r>
          </w:p>
        </w:tc>
        <w:tc>
          <w:tcPr>
            <w:tcW w:type="dxa" w:w="6624"/>
            <w:tcMar>
              <w:top w:w="70" w:type="dxa"/>
              <w:bottom w:w="70" w:type="dxa"/>
              <w:start w:w="90" w:type="dxa"/>
              <w:end w:w="90" w:type="dxa"/>
            </w:tcMar>
            <w:shd w:val="clear" w:color="auto" w:fill="F5FAF8"/>
          </w:tcPr>
          <w:p>
            <w:pPr>
              <w:spacing w:after="0" w:line="252" w:lineRule="auto"/>
            </w:pPr>
            <w:r>
              <w:rPr>
                <w:rFonts w:ascii="Calibri" w:hAnsi="Calibri"/>
                <w:color w:val="0B1F1A"/>
                <w:sz w:val="16"/>
              </w:rPr>
              <w:t>5,634 / 1,409 (stratified 80/20)</w:t>
            </w:r>
          </w:p>
        </w:tc>
      </w:tr>
      <w:tr>
        <w:tc>
          <w:tcPr>
            <w:tcW w:type="dxa" w:w="2880"/>
            <w:tcMar>
              <w:top w:w="70" w:type="dxa"/>
              <w:bottom w:w="70" w:type="dxa"/>
              <w:start w:w="90" w:type="dxa"/>
              <w:end w:w="90" w:type="dxa"/>
            </w:tcMar>
          </w:tcPr>
          <w:p>
            <w:pPr>
              <w:spacing w:after="0" w:line="252" w:lineRule="auto"/>
            </w:pPr>
            <w:r>
              <w:rPr>
                <w:rFonts w:ascii="Calibri" w:hAnsi="Calibri"/>
                <w:color w:val="0B1F1A"/>
                <w:sz w:val="16"/>
              </w:rPr>
              <w:t>Missing values</w:t>
            </w:r>
          </w:p>
        </w:tc>
        <w:tc>
          <w:tcPr>
            <w:tcW w:type="dxa" w:w="6624"/>
            <w:tcMar>
              <w:top w:w="70" w:type="dxa"/>
              <w:bottom w:w="70" w:type="dxa"/>
              <w:start w:w="90" w:type="dxa"/>
              <w:end w:w="90" w:type="dxa"/>
            </w:tcMar>
          </w:tcPr>
          <w:p>
            <w:pPr>
              <w:spacing w:after="0" w:line="252" w:lineRule="auto"/>
            </w:pPr>
            <w:r>
              <w:rPr>
                <w:rFonts w:ascii="Calibri" w:hAnsi="Calibri"/>
                <w:color w:val="0B1F1A"/>
                <w:sz w:val="16"/>
              </w:rPr>
              <w:t>11 blanks in TotalCharges, all customers with tenure = 0</w:t>
            </w:r>
          </w:p>
        </w:tc>
      </w:tr>
      <w:tr>
        <w:tc>
          <w:tcPr>
            <w:tcW w:type="dxa" w:w="2880"/>
            <w:tcMar>
              <w:top w:w="70" w:type="dxa"/>
              <w:bottom w:w="70" w:type="dxa"/>
              <w:start w:w="90" w:type="dxa"/>
              <w:end w:w="90" w:type="dxa"/>
            </w:tcMar>
            <w:shd w:val="clear" w:color="auto" w:fill="F5FAF8"/>
          </w:tcPr>
          <w:p>
            <w:pPr>
              <w:spacing w:after="0" w:line="252" w:lineRule="auto"/>
            </w:pPr>
            <w:r>
              <w:rPr>
                <w:rFonts w:ascii="Calibri" w:hAnsi="Calibri"/>
                <w:color w:val="0B1F1A"/>
                <w:sz w:val="16"/>
              </w:rPr>
              <w:t>Class balance</w:t>
            </w:r>
          </w:p>
        </w:tc>
        <w:tc>
          <w:tcPr>
            <w:tcW w:type="dxa" w:w="6624"/>
            <w:tcMar>
              <w:top w:w="70" w:type="dxa"/>
              <w:bottom w:w="70" w:type="dxa"/>
              <w:start w:w="90" w:type="dxa"/>
              <w:end w:w="90" w:type="dxa"/>
            </w:tcMar>
            <w:shd w:val="clear" w:color="auto" w:fill="F5FAF8"/>
          </w:tcPr>
          <w:p>
            <w:pPr>
              <w:spacing w:after="0" w:line="252" w:lineRule="auto"/>
            </w:pPr>
            <w:r>
              <w:rPr>
                <w:rFonts w:ascii="Calibri" w:hAnsi="Calibri"/>
                <w:color w:val="0B1F1A"/>
                <w:sz w:val="16"/>
              </w:rPr>
              <w:t>Imbalanced: ~26.5% positive class</w:t>
            </w:r>
          </w:p>
        </w:tc>
      </w:tr>
    </w:tbl>
    <w:p>
      <w:pPr>
        <w:spacing w:after="40"/>
      </w:pPr>
    </w:p>
    <w:p>
      <w:pPr>
        <w:pStyle w:val="Heading2"/>
        <w:keepNext/>
        <w:spacing w:before="180" w:after="100"/>
      </w:pPr>
      <w:r>
        <w:t>3.1 Important columns</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2736"/>
            <w:shd w:val="clear" w:color="auto" w:fill="0B3B2E"/>
            <w:tcMar>
              <w:top w:w="70" w:type="dxa"/>
              <w:bottom w:w="70" w:type="dxa"/>
              <w:start w:w="90" w:type="dxa"/>
              <w:end w:w="90" w:type="dxa"/>
            </w:tcMar>
          </w:tcPr>
          <w:p>
            <w:pPr>
              <w:spacing w:after="0"/>
            </w:pPr>
            <w:r>
              <w:rPr>
                <w:rFonts w:ascii="Calibri" w:hAnsi="Calibri"/>
                <w:b/>
                <w:color w:val="FFFFFF"/>
                <w:sz w:val="16"/>
              </w:rPr>
              <w:t>Column</w:t>
            </w:r>
          </w:p>
        </w:tc>
        <w:tc>
          <w:tcPr>
            <w:tcW w:type="dxa" w:w="1584"/>
            <w:shd w:val="clear" w:color="auto" w:fill="0B3B2E"/>
            <w:tcMar>
              <w:top w:w="70" w:type="dxa"/>
              <w:bottom w:w="70" w:type="dxa"/>
              <w:start w:w="90" w:type="dxa"/>
              <w:end w:w="90" w:type="dxa"/>
            </w:tcMar>
          </w:tcPr>
          <w:p>
            <w:pPr>
              <w:spacing w:after="0"/>
            </w:pPr>
            <w:r>
              <w:rPr>
                <w:rFonts w:ascii="Calibri" w:hAnsi="Calibri"/>
                <w:b/>
                <w:color w:val="FFFFFF"/>
                <w:sz w:val="16"/>
              </w:rPr>
              <w:t>Type</w:t>
            </w:r>
          </w:p>
        </w:tc>
        <w:tc>
          <w:tcPr>
            <w:tcW w:type="dxa" w:w="5328"/>
            <w:shd w:val="clear" w:color="auto" w:fill="0B3B2E"/>
            <w:tcMar>
              <w:top w:w="70" w:type="dxa"/>
              <w:bottom w:w="70" w:type="dxa"/>
              <w:start w:w="90" w:type="dxa"/>
              <w:end w:w="90" w:type="dxa"/>
            </w:tcMar>
          </w:tcPr>
          <w:p>
            <w:pPr>
              <w:spacing w:after="0"/>
            </w:pPr>
            <w:r>
              <w:rPr>
                <w:rFonts w:ascii="Calibri" w:hAnsi="Calibri"/>
                <w:b/>
                <w:color w:val="FFFFFF"/>
                <w:sz w:val="16"/>
              </w:rPr>
              <w:t>Meaning</w:t>
            </w:r>
          </w:p>
        </w:tc>
      </w:tr>
      <w:tr>
        <w:tc>
          <w:tcPr>
            <w:tcW w:type="dxa" w:w="2736"/>
            <w:tcMar>
              <w:top w:w="70" w:type="dxa"/>
              <w:bottom w:w="70" w:type="dxa"/>
              <w:start w:w="90" w:type="dxa"/>
              <w:end w:w="90" w:type="dxa"/>
            </w:tcMar>
          </w:tcPr>
          <w:p>
            <w:pPr>
              <w:spacing w:after="0" w:line="252" w:lineRule="auto"/>
            </w:pPr>
            <w:r>
              <w:rPr>
                <w:rFonts w:ascii="Calibri" w:hAnsi="Calibri"/>
                <w:color w:val="0B1F1A"/>
                <w:sz w:val="16"/>
              </w:rPr>
              <w:t>tenure</w:t>
            </w:r>
          </w:p>
        </w:tc>
        <w:tc>
          <w:tcPr>
            <w:tcW w:type="dxa" w:w="1584"/>
            <w:tcMar>
              <w:top w:w="70" w:type="dxa"/>
              <w:bottom w:w="70" w:type="dxa"/>
              <w:start w:w="90" w:type="dxa"/>
              <w:end w:w="90" w:type="dxa"/>
            </w:tcMar>
          </w:tcPr>
          <w:p>
            <w:pPr>
              <w:spacing w:after="0" w:line="252" w:lineRule="auto"/>
            </w:pPr>
            <w:r>
              <w:rPr>
                <w:rFonts w:ascii="Calibri" w:hAnsi="Calibri"/>
                <w:color w:val="0B1F1A"/>
                <w:sz w:val="16"/>
              </w:rPr>
              <w:t>Numeric</w:t>
            </w:r>
          </w:p>
        </w:tc>
        <w:tc>
          <w:tcPr>
            <w:tcW w:type="dxa" w:w="5328"/>
            <w:tcMar>
              <w:top w:w="70" w:type="dxa"/>
              <w:bottom w:w="70" w:type="dxa"/>
              <w:start w:w="90" w:type="dxa"/>
              <w:end w:w="90" w:type="dxa"/>
            </w:tcMar>
          </w:tcPr>
          <w:p>
            <w:pPr>
              <w:spacing w:after="0" w:line="252" w:lineRule="auto"/>
            </w:pPr>
            <w:r>
              <w:rPr>
                <w:rFonts w:ascii="Calibri" w:hAnsi="Calibri"/>
                <w:color w:val="0B1F1A"/>
                <w:sz w:val="16"/>
              </w:rPr>
              <w:t>Months the customer has stayed</w:t>
            </w:r>
          </w:p>
        </w:tc>
      </w:tr>
      <w:tr>
        <w:tc>
          <w:tcPr>
            <w:tcW w:type="dxa" w:w="2736"/>
            <w:tcMar>
              <w:top w:w="70" w:type="dxa"/>
              <w:bottom w:w="70" w:type="dxa"/>
              <w:start w:w="90" w:type="dxa"/>
              <w:end w:w="90" w:type="dxa"/>
            </w:tcMar>
            <w:shd w:val="clear" w:color="auto" w:fill="F5FAF8"/>
          </w:tcPr>
          <w:p>
            <w:pPr>
              <w:spacing w:after="0" w:line="252" w:lineRule="auto"/>
            </w:pPr>
            <w:r>
              <w:rPr>
                <w:rFonts w:ascii="Calibri" w:hAnsi="Calibri"/>
                <w:color w:val="0B1F1A"/>
                <w:sz w:val="16"/>
              </w:rPr>
              <w:t>MonthlyCharges</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Numeric</w:t>
            </w:r>
          </w:p>
        </w:tc>
        <w:tc>
          <w:tcPr>
            <w:tcW w:type="dxa" w:w="5328"/>
            <w:tcMar>
              <w:top w:w="70" w:type="dxa"/>
              <w:bottom w:w="70" w:type="dxa"/>
              <w:start w:w="90" w:type="dxa"/>
              <w:end w:w="90" w:type="dxa"/>
            </w:tcMar>
            <w:shd w:val="clear" w:color="auto" w:fill="F5FAF8"/>
          </w:tcPr>
          <w:p>
            <w:pPr>
              <w:spacing w:after="0" w:line="252" w:lineRule="auto"/>
            </w:pPr>
            <w:r>
              <w:rPr>
                <w:rFonts w:ascii="Calibri" w:hAnsi="Calibri"/>
                <w:color w:val="0B1F1A"/>
                <w:sz w:val="16"/>
              </w:rPr>
              <w:t>Current monthly bill</w:t>
            </w:r>
          </w:p>
        </w:tc>
      </w:tr>
      <w:tr>
        <w:tc>
          <w:tcPr>
            <w:tcW w:type="dxa" w:w="2736"/>
            <w:tcMar>
              <w:top w:w="70" w:type="dxa"/>
              <w:bottom w:w="70" w:type="dxa"/>
              <w:start w:w="90" w:type="dxa"/>
              <w:end w:w="90" w:type="dxa"/>
            </w:tcMar>
          </w:tcPr>
          <w:p>
            <w:pPr>
              <w:spacing w:after="0" w:line="252" w:lineRule="auto"/>
            </w:pPr>
            <w:r>
              <w:rPr>
                <w:rFonts w:ascii="Calibri" w:hAnsi="Calibri"/>
                <w:color w:val="0B1F1A"/>
                <w:sz w:val="16"/>
              </w:rPr>
              <w:t>TotalCharges</w:t>
            </w:r>
          </w:p>
        </w:tc>
        <w:tc>
          <w:tcPr>
            <w:tcW w:type="dxa" w:w="1584"/>
            <w:tcMar>
              <w:top w:w="70" w:type="dxa"/>
              <w:bottom w:w="70" w:type="dxa"/>
              <w:start w:w="90" w:type="dxa"/>
              <w:end w:w="90" w:type="dxa"/>
            </w:tcMar>
          </w:tcPr>
          <w:p>
            <w:pPr>
              <w:spacing w:after="0" w:line="252" w:lineRule="auto"/>
            </w:pPr>
            <w:r>
              <w:rPr>
                <w:rFonts w:ascii="Calibri" w:hAnsi="Calibri"/>
                <w:color w:val="0B1F1A"/>
                <w:sz w:val="16"/>
              </w:rPr>
              <w:t>Numeric*</w:t>
            </w:r>
          </w:p>
        </w:tc>
        <w:tc>
          <w:tcPr>
            <w:tcW w:type="dxa" w:w="5328"/>
            <w:tcMar>
              <w:top w:w="70" w:type="dxa"/>
              <w:bottom w:w="70" w:type="dxa"/>
              <w:start w:w="90" w:type="dxa"/>
              <w:end w:w="90" w:type="dxa"/>
            </w:tcMar>
          </w:tcPr>
          <w:p>
            <w:pPr>
              <w:spacing w:after="0" w:line="252" w:lineRule="auto"/>
            </w:pPr>
            <w:r>
              <w:rPr>
                <w:rFonts w:ascii="Calibri" w:hAnsi="Calibri"/>
                <w:color w:val="0B1F1A"/>
                <w:sz w:val="16"/>
              </w:rPr>
              <w:t>Lifetime charges; blank for brand-new customers</w:t>
            </w:r>
          </w:p>
        </w:tc>
      </w:tr>
      <w:tr>
        <w:tc>
          <w:tcPr>
            <w:tcW w:type="dxa" w:w="2736"/>
            <w:tcMar>
              <w:top w:w="70" w:type="dxa"/>
              <w:bottom w:w="70" w:type="dxa"/>
              <w:start w:w="90" w:type="dxa"/>
              <w:end w:w="90" w:type="dxa"/>
            </w:tcMar>
            <w:shd w:val="clear" w:color="auto" w:fill="F5FAF8"/>
          </w:tcPr>
          <w:p>
            <w:pPr>
              <w:spacing w:after="0" w:line="252" w:lineRule="auto"/>
            </w:pPr>
            <w:r>
              <w:rPr>
                <w:rFonts w:ascii="Calibri" w:hAnsi="Calibri"/>
                <w:color w:val="0B1F1A"/>
                <w:sz w:val="16"/>
              </w:rPr>
              <w:t>Contract</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Categorical</w:t>
            </w:r>
          </w:p>
        </w:tc>
        <w:tc>
          <w:tcPr>
            <w:tcW w:type="dxa" w:w="5328"/>
            <w:tcMar>
              <w:top w:w="70" w:type="dxa"/>
              <w:bottom w:w="70" w:type="dxa"/>
              <w:start w:w="90" w:type="dxa"/>
              <w:end w:w="90" w:type="dxa"/>
            </w:tcMar>
            <w:shd w:val="clear" w:color="auto" w:fill="F5FAF8"/>
          </w:tcPr>
          <w:p>
            <w:pPr>
              <w:spacing w:after="0" w:line="252" w:lineRule="auto"/>
            </w:pPr>
            <w:r>
              <w:rPr>
                <w:rFonts w:ascii="Calibri" w:hAnsi="Calibri"/>
                <w:color w:val="0B1F1A"/>
                <w:sz w:val="16"/>
              </w:rPr>
              <w:t>Month-to-month, One year or Two year</w:t>
            </w:r>
          </w:p>
        </w:tc>
      </w:tr>
      <w:tr>
        <w:tc>
          <w:tcPr>
            <w:tcW w:type="dxa" w:w="2736"/>
            <w:tcMar>
              <w:top w:w="70" w:type="dxa"/>
              <w:bottom w:w="70" w:type="dxa"/>
              <w:start w:w="90" w:type="dxa"/>
              <w:end w:w="90" w:type="dxa"/>
            </w:tcMar>
          </w:tcPr>
          <w:p>
            <w:pPr>
              <w:spacing w:after="0" w:line="252" w:lineRule="auto"/>
            </w:pPr>
            <w:r>
              <w:rPr>
                <w:rFonts w:ascii="Calibri" w:hAnsi="Calibri"/>
                <w:color w:val="0B1F1A"/>
                <w:sz w:val="16"/>
              </w:rPr>
              <w:t>InternetService</w:t>
            </w:r>
          </w:p>
        </w:tc>
        <w:tc>
          <w:tcPr>
            <w:tcW w:type="dxa" w:w="1584"/>
            <w:tcMar>
              <w:top w:w="70" w:type="dxa"/>
              <w:bottom w:w="70" w:type="dxa"/>
              <w:start w:w="90" w:type="dxa"/>
              <w:end w:w="90" w:type="dxa"/>
            </w:tcMar>
          </w:tcPr>
          <w:p>
            <w:pPr>
              <w:spacing w:after="0" w:line="252" w:lineRule="auto"/>
            </w:pPr>
            <w:r>
              <w:rPr>
                <w:rFonts w:ascii="Calibri" w:hAnsi="Calibri"/>
                <w:color w:val="0B1F1A"/>
                <w:sz w:val="16"/>
              </w:rPr>
              <w:t>Categorical</w:t>
            </w:r>
          </w:p>
        </w:tc>
        <w:tc>
          <w:tcPr>
            <w:tcW w:type="dxa" w:w="5328"/>
            <w:tcMar>
              <w:top w:w="70" w:type="dxa"/>
              <w:bottom w:w="70" w:type="dxa"/>
              <w:start w:w="90" w:type="dxa"/>
              <w:end w:w="90" w:type="dxa"/>
            </w:tcMar>
          </w:tcPr>
          <w:p>
            <w:pPr>
              <w:spacing w:after="0" w:line="252" w:lineRule="auto"/>
            </w:pPr>
            <w:r>
              <w:rPr>
                <w:rFonts w:ascii="Calibri" w:hAnsi="Calibri"/>
                <w:color w:val="0B1F1A"/>
                <w:sz w:val="16"/>
              </w:rPr>
              <w:t>DSL, Fiber optic or No</w:t>
            </w:r>
          </w:p>
        </w:tc>
      </w:tr>
      <w:tr>
        <w:tc>
          <w:tcPr>
            <w:tcW w:type="dxa" w:w="2736"/>
            <w:tcMar>
              <w:top w:w="70" w:type="dxa"/>
              <w:bottom w:w="70" w:type="dxa"/>
              <w:start w:w="90" w:type="dxa"/>
              <w:end w:w="90" w:type="dxa"/>
            </w:tcMar>
            <w:shd w:val="clear" w:color="auto" w:fill="F5FAF8"/>
          </w:tcPr>
          <w:p>
            <w:pPr>
              <w:spacing w:after="0" w:line="252" w:lineRule="auto"/>
            </w:pPr>
            <w:r>
              <w:rPr>
                <w:rFonts w:ascii="Calibri" w:hAnsi="Calibri"/>
                <w:color w:val="0B1F1A"/>
                <w:sz w:val="16"/>
              </w:rPr>
              <w:t>PaymentMethod</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Categorical</w:t>
            </w:r>
          </w:p>
        </w:tc>
        <w:tc>
          <w:tcPr>
            <w:tcW w:type="dxa" w:w="5328"/>
            <w:tcMar>
              <w:top w:w="70" w:type="dxa"/>
              <w:bottom w:w="70" w:type="dxa"/>
              <w:start w:w="90" w:type="dxa"/>
              <w:end w:w="90" w:type="dxa"/>
            </w:tcMar>
            <w:shd w:val="clear" w:color="auto" w:fill="F5FAF8"/>
          </w:tcPr>
          <w:p>
            <w:pPr>
              <w:spacing w:after="0" w:line="252" w:lineRule="auto"/>
            </w:pPr>
            <w:r>
              <w:rPr>
                <w:rFonts w:ascii="Calibri" w:hAnsi="Calibri"/>
                <w:color w:val="0B1F1A"/>
                <w:sz w:val="16"/>
              </w:rPr>
              <w:t>Electronic check, mailed check, bank transfer, credit card</w:t>
            </w:r>
          </w:p>
        </w:tc>
      </w:tr>
      <w:tr>
        <w:tc>
          <w:tcPr>
            <w:tcW w:type="dxa" w:w="2736"/>
            <w:tcMar>
              <w:top w:w="70" w:type="dxa"/>
              <w:bottom w:w="70" w:type="dxa"/>
              <w:start w:w="90" w:type="dxa"/>
              <w:end w:w="90" w:type="dxa"/>
            </w:tcMar>
          </w:tcPr>
          <w:p>
            <w:pPr>
              <w:spacing w:after="0" w:line="252" w:lineRule="auto"/>
            </w:pPr>
            <w:r>
              <w:rPr>
                <w:rFonts w:ascii="Calibri" w:hAnsi="Calibri"/>
                <w:color w:val="0B1F1A"/>
                <w:sz w:val="16"/>
              </w:rPr>
              <w:t>OnlineSecurity … TechSupport</w:t>
            </w:r>
          </w:p>
        </w:tc>
        <w:tc>
          <w:tcPr>
            <w:tcW w:type="dxa" w:w="1584"/>
            <w:tcMar>
              <w:top w:w="70" w:type="dxa"/>
              <w:bottom w:w="70" w:type="dxa"/>
              <w:start w:w="90" w:type="dxa"/>
              <w:end w:w="90" w:type="dxa"/>
            </w:tcMar>
          </w:tcPr>
          <w:p>
            <w:pPr>
              <w:spacing w:after="0" w:line="252" w:lineRule="auto"/>
            </w:pPr>
            <w:r>
              <w:rPr>
                <w:rFonts w:ascii="Calibri" w:hAnsi="Calibri"/>
                <w:color w:val="0B1F1A"/>
                <w:sz w:val="16"/>
              </w:rPr>
              <w:t>Categorical</w:t>
            </w:r>
          </w:p>
        </w:tc>
        <w:tc>
          <w:tcPr>
            <w:tcW w:type="dxa" w:w="5328"/>
            <w:tcMar>
              <w:top w:w="70" w:type="dxa"/>
              <w:bottom w:w="70" w:type="dxa"/>
              <w:start w:w="90" w:type="dxa"/>
              <w:end w:w="90" w:type="dxa"/>
            </w:tcMar>
          </w:tcPr>
          <w:p>
            <w:pPr>
              <w:spacing w:after="0" w:line="252" w:lineRule="auto"/>
            </w:pPr>
            <w:r>
              <w:rPr>
                <w:rFonts w:ascii="Calibri" w:hAnsi="Calibri"/>
                <w:color w:val="0B1F1A"/>
                <w:sz w:val="16"/>
              </w:rPr>
              <w:t>Service add-ons; value includes 'No internet service'</w:t>
            </w:r>
          </w:p>
        </w:tc>
      </w:tr>
      <w:tr>
        <w:tc>
          <w:tcPr>
            <w:tcW w:type="dxa" w:w="2736"/>
            <w:tcMar>
              <w:top w:w="70" w:type="dxa"/>
              <w:bottom w:w="70" w:type="dxa"/>
              <w:start w:w="90" w:type="dxa"/>
              <w:end w:w="90" w:type="dxa"/>
            </w:tcMar>
            <w:shd w:val="clear" w:color="auto" w:fill="F5FAF8"/>
          </w:tcPr>
          <w:p>
            <w:pPr>
              <w:spacing w:after="0" w:line="252" w:lineRule="auto"/>
            </w:pPr>
            <w:r>
              <w:rPr>
                <w:rFonts w:ascii="Calibri" w:hAnsi="Calibri"/>
                <w:color w:val="0B1F1A"/>
                <w:sz w:val="16"/>
              </w:rPr>
              <w:t>StreamingTV / StreamingMovies</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Categorical</w:t>
            </w:r>
          </w:p>
        </w:tc>
        <w:tc>
          <w:tcPr>
            <w:tcW w:type="dxa" w:w="5328"/>
            <w:tcMar>
              <w:top w:w="70" w:type="dxa"/>
              <w:bottom w:w="70" w:type="dxa"/>
              <w:start w:w="90" w:type="dxa"/>
              <w:end w:w="90" w:type="dxa"/>
            </w:tcMar>
            <w:shd w:val="clear" w:color="auto" w:fill="F5FAF8"/>
          </w:tcPr>
          <w:p>
            <w:pPr>
              <w:spacing w:after="0" w:line="252" w:lineRule="auto"/>
            </w:pPr>
            <w:r>
              <w:rPr>
                <w:rFonts w:ascii="Calibri" w:hAnsi="Calibri"/>
                <w:color w:val="0B1F1A"/>
                <w:sz w:val="16"/>
              </w:rPr>
              <w:t>Entertainment add-ons</w:t>
            </w:r>
          </w:p>
        </w:tc>
      </w:tr>
      <w:tr>
        <w:tc>
          <w:tcPr>
            <w:tcW w:type="dxa" w:w="2736"/>
            <w:tcMar>
              <w:top w:w="70" w:type="dxa"/>
              <w:bottom w:w="70" w:type="dxa"/>
              <w:start w:w="90" w:type="dxa"/>
              <w:end w:w="90" w:type="dxa"/>
            </w:tcMar>
          </w:tcPr>
          <w:p>
            <w:pPr>
              <w:spacing w:after="0" w:line="252" w:lineRule="auto"/>
            </w:pPr>
            <w:r>
              <w:rPr>
                <w:rFonts w:ascii="Calibri" w:hAnsi="Calibri"/>
                <w:color w:val="0B1F1A"/>
                <w:sz w:val="16"/>
              </w:rPr>
              <w:t>PaperlessBilling</w:t>
            </w:r>
          </w:p>
        </w:tc>
        <w:tc>
          <w:tcPr>
            <w:tcW w:type="dxa" w:w="1584"/>
            <w:tcMar>
              <w:top w:w="70" w:type="dxa"/>
              <w:bottom w:w="70" w:type="dxa"/>
              <w:start w:w="90" w:type="dxa"/>
              <w:end w:w="90" w:type="dxa"/>
            </w:tcMar>
          </w:tcPr>
          <w:p>
            <w:pPr>
              <w:spacing w:after="0" w:line="252" w:lineRule="auto"/>
            </w:pPr>
            <w:r>
              <w:rPr>
                <w:rFonts w:ascii="Calibri" w:hAnsi="Calibri"/>
                <w:color w:val="0B1F1A"/>
                <w:sz w:val="16"/>
              </w:rPr>
              <w:t>Categorical</w:t>
            </w:r>
          </w:p>
        </w:tc>
        <w:tc>
          <w:tcPr>
            <w:tcW w:type="dxa" w:w="5328"/>
            <w:tcMar>
              <w:top w:w="70" w:type="dxa"/>
              <w:bottom w:w="70" w:type="dxa"/>
              <w:start w:w="90" w:type="dxa"/>
              <w:end w:w="90" w:type="dxa"/>
            </w:tcMar>
          </w:tcPr>
          <w:p>
            <w:pPr>
              <w:spacing w:after="0" w:line="252" w:lineRule="auto"/>
            </w:pPr>
            <w:r>
              <w:rPr>
                <w:rFonts w:ascii="Calibri" w:hAnsi="Calibri"/>
                <w:color w:val="0B1F1A"/>
                <w:sz w:val="16"/>
              </w:rPr>
              <w:t>Yes / No</w:t>
            </w:r>
          </w:p>
        </w:tc>
      </w:tr>
      <w:tr>
        <w:tc>
          <w:tcPr>
            <w:tcW w:type="dxa" w:w="2736"/>
            <w:tcMar>
              <w:top w:w="70" w:type="dxa"/>
              <w:bottom w:w="70" w:type="dxa"/>
              <w:start w:w="90" w:type="dxa"/>
              <w:end w:w="90" w:type="dxa"/>
            </w:tcMar>
            <w:shd w:val="clear" w:color="auto" w:fill="F5FAF8"/>
          </w:tcPr>
          <w:p>
            <w:pPr>
              <w:spacing w:after="0" w:line="252" w:lineRule="auto"/>
            </w:pPr>
            <w:r>
              <w:rPr>
                <w:rFonts w:ascii="Calibri" w:hAnsi="Calibri"/>
                <w:color w:val="0B1F1A"/>
                <w:sz w:val="16"/>
              </w:rPr>
              <w:t>Churn</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Target</w:t>
            </w:r>
          </w:p>
        </w:tc>
        <w:tc>
          <w:tcPr>
            <w:tcW w:type="dxa" w:w="5328"/>
            <w:tcMar>
              <w:top w:w="70" w:type="dxa"/>
              <w:bottom w:w="70" w:type="dxa"/>
              <w:start w:w="90" w:type="dxa"/>
              <w:end w:w="90" w:type="dxa"/>
            </w:tcMar>
            <w:shd w:val="clear" w:color="auto" w:fill="F5FAF8"/>
          </w:tcPr>
          <w:p>
            <w:pPr>
              <w:spacing w:after="0" w:line="252" w:lineRule="auto"/>
            </w:pPr>
            <w:r>
              <w:rPr>
                <w:rFonts w:ascii="Calibri" w:hAnsi="Calibri"/>
                <w:color w:val="0B1F1A"/>
                <w:sz w:val="16"/>
              </w:rPr>
              <w:t>Yes / No</w:t>
            </w:r>
          </w:p>
        </w:tc>
      </w:tr>
    </w:tbl>
    <w:p>
      <w:pPr>
        <w:spacing w:after="40"/>
      </w:pPr>
    </w:p>
    <w:tbl>
      <w:tblPr>
        <w:tblW w:type="auto" w:w="0"/>
        <w:jc w:val="center"/>
        <w:tblLook w:firstColumn="1" w:firstRow="1" w:lastColumn="0" w:lastRow="0" w:noHBand="0" w:noVBand="1" w:val="04A0"/>
        <w:tblBorders>
          <w:top w:val="single" w:sz="6" w:space="0" w:color="BFE8D5"/>
          <w:left w:val="single" w:sz="6" w:space="0" w:color="BFE8D5"/>
          <w:bottom w:val="single" w:sz="6" w:space="0" w:color="BFE8D5"/>
          <w:right w:val="single" w:sz="6" w:space="0" w:color="BFE8D5"/>
          <w:insideH w:val="single" w:sz="6" w:space="0" w:color="BFE8D5"/>
          <w:insideV w:val="single" w:sz="6" w:space="0" w:color="BFE8D5"/>
        </w:tblBorders>
      </w:tblPr>
      <w:tblGrid>
        <w:gridCol w:w="9638"/>
      </w:tblGrid>
      <w:tr>
        <w:tc>
          <w:tcPr>
            <w:tcW w:type="dxa" w:w="9638"/>
            <w:shd w:val="clear" w:color="auto" w:fill="F1FAF6"/>
            <w:tcMar>
              <w:top w:w="130" w:type="dxa"/>
              <w:bottom w:w="130" w:type="dxa"/>
              <w:start w:w="170" w:type="dxa"/>
              <w:end w:w="170" w:type="dxa"/>
            </w:tcMar>
          </w:tcPr>
          <w:p>
            <w:pPr>
              <w:spacing w:after="60"/>
            </w:pPr>
            <w:r>
              <w:rPr>
                <w:b/>
                <w:color w:val="0EA96F"/>
                <w:sz w:val="19"/>
              </w:rPr>
              <w:t>Data-quality decision</w:t>
            </w:r>
          </w:p>
          <w:p>
            <w:pPr>
              <w:spacing w:after="0" w:line="288" w:lineRule="auto"/>
            </w:pPr>
            <w:r>
              <w:rPr>
                <w:color w:val="0B1F1A"/>
                <w:sz w:val="18"/>
              </w:rPr>
              <w:t>The blanks in TotalCharges are not missing-at-random. They belong to customers with tenure = 0, for whom lifetime spend is genuinely zero. They are filled with 0 rather than the column median, which would invent revenue that never existed.</w:t>
            </w:r>
          </w:p>
        </w:tc>
      </w:tr>
    </w:tbl>
    <w:p>
      <w:pPr>
        <w:spacing w:after="40"/>
      </w:pPr>
    </w:p>
    <w:p>
      <w:pPr>
        <w:spacing w:after="140" w:line="307" w:lineRule="auto"/>
      </w:pPr>
      <w:r>
        <w:rPr>
          <w:i w:val="0"/>
        </w:rPr>
        <w:t>customerID is an identifier and is never used as a feature. Keeping it in the model would allow the model to memorise rows and would not generalise to new customers.</w:t>
      </w:r>
    </w:p>
    <w:p>
      <w:r>
        <w:br w:type="page"/>
      </w:r>
    </w:p>
    <w:p>
      <w:pPr>
        <w:pStyle w:val="Heading1"/>
        <w:keepNext/>
        <w:spacing w:before="240" w:after="100"/>
      </w:pPr>
      <w:r>
        <w:t>4. Exploratory data analysis</w:t>
      </w:r>
    </w:p>
    <w:p>
      <w:pPr>
        <w:spacing w:after="140" w:line="307" w:lineRule="auto"/>
      </w:pPr>
      <w:r>
        <w:rPr>
          <w:i w:val="0"/>
        </w:rPr>
        <w:t>The churn base rate is 26.54% (1,869 of 7,043). Customers who churned have a shorter average tenure (18.0 vs 37.6 months) and a higher average monthly bill ($74.44 vs $61.27). This is consistent with the intuition that new, high-bill customers are more price-sensitive and less attached.</w:t>
      </w:r>
    </w:p>
    <w:p>
      <w:pPr>
        <w:pStyle w:val="Heading2"/>
        <w:keepNext/>
        <w:spacing w:before="180" w:after="100"/>
      </w:pPr>
      <w:r>
        <w:t>4.1 Churn by contract</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3456"/>
            <w:shd w:val="clear" w:color="auto" w:fill="0B3B2E"/>
            <w:tcMar>
              <w:top w:w="70" w:type="dxa"/>
              <w:bottom w:w="70" w:type="dxa"/>
              <w:start w:w="90" w:type="dxa"/>
              <w:end w:w="90" w:type="dxa"/>
            </w:tcMar>
          </w:tcPr>
          <w:p>
            <w:pPr>
              <w:spacing w:after="0"/>
            </w:pPr>
            <w:r>
              <w:rPr>
                <w:rFonts w:ascii="Calibri" w:hAnsi="Calibri"/>
                <w:b/>
                <w:color w:val="FFFFFF"/>
                <w:sz w:val="16"/>
              </w:rPr>
              <w:t>Contract</w:t>
            </w:r>
          </w:p>
        </w:tc>
        <w:tc>
          <w:tcPr>
            <w:tcW w:type="dxa" w:w="2592"/>
            <w:shd w:val="clear" w:color="auto" w:fill="0B3B2E"/>
            <w:tcMar>
              <w:top w:w="70" w:type="dxa"/>
              <w:bottom w:w="70" w:type="dxa"/>
              <w:start w:w="90" w:type="dxa"/>
              <w:end w:w="90" w:type="dxa"/>
            </w:tcMar>
          </w:tcPr>
          <w:p>
            <w:pPr>
              <w:spacing w:after="0"/>
            </w:pPr>
            <w:r>
              <w:rPr>
                <w:rFonts w:ascii="Calibri" w:hAnsi="Calibri"/>
                <w:b/>
                <w:color w:val="FFFFFF"/>
                <w:sz w:val="16"/>
              </w:rPr>
              <w:t>Customers</w:t>
            </w:r>
          </w:p>
        </w:tc>
        <w:tc>
          <w:tcPr>
            <w:tcW w:type="dxa" w:w="2304"/>
            <w:shd w:val="clear" w:color="auto" w:fill="0B3B2E"/>
            <w:tcMar>
              <w:top w:w="70" w:type="dxa"/>
              <w:bottom w:w="70" w:type="dxa"/>
              <w:start w:w="90" w:type="dxa"/>
              <w:end w:w="90" w:type="dxa"/>
            </w:tcMar>
          </w:tcPr>
          <w:p>
            <w:pPr>
              <w:spacing w:after="0"/>
            </w:pPr>
            <w:r>
              <w:rPr>
                <w:rFonts w:ascii="Calibri" w:hAnsi="Calibri"/>
                <w:b/>
                <w:color w:val="FFFFFF"/>
                <w:sz w:val="16"/>
              </w:rPr>
              <w:t>Churn rate</w:t>
            </w:r>
          </w:p>
        </w:tc>
      </w:tr>
      <w:tr>
        <w:tc>
          <w:tcPr>
            <w:tcW w:type="dxa" w:w="3456"/>
            <w:tcMar>
              <w:top w:w="70" w:type="dxa"/>
              <w:bottom w:w="70" w:type="dxa"/>
              <w:start w:w="90" w:type="dxa"/>
              <w:end w:w="90" w:type="dxa"/>
            </w:tcMar>
          </w:tcPr>
          <w:p>
            <w:pPr>
              <w:spacing w:after="0" w:line="252" w:lineRule="auto"/>
            </w:pPr>
            <w:r>
              <w:rPr>
                <w:rFonts w:ascii="Calibri" w:hAnsi="Calibri"/>
                <w:color w:val="0B1F1A"/>
                <w:sz w:val="16"/>
              </w:rPr>
              <w:t>Month-to-month</w:t>
            </w:r>
          </w:p>
        </w:tc>
        <w:tc>
          <w:tcPr>
            <w:tcW w:type="dxa" w:w="2592"/>
            <w:tcMar>
              <w:top w:w="70" w:type="dxa"/>
              <w:bottom w:w="70" w:type="dxa"/>
              <w:start w:w="90" w:type="dxa"/>
              <w:end w:w="90" w:type="dxa"/>
            </w:tcMar>
          </w:tcPr>
          <w:p>
            <w:pPr>
              <w:spacing w:after="0" w:line="252" w:lineRule="auto"/>
            </w:pPr>
            <w:r>
              <w:rPr>
                <w:rFonts w:ascii="Calibri" w:hAnsi="Calibri"/>
                <w:color w:val="0B1F1A"/>
                <w:sz w:val="16"/>
              </w:rPr>
              <w:t>3,875</w:t>
            </w:r>
          </w:p>
        </w:tc>
        <w:tc>
          <w:tcPr>
            <w:tcW w:type="dxa" w:w="2304"/>
            <w:tcMar>
              <w:top w:w="70" w:type="dxa"/>
              <w:bottom w:w="70" w:type="dxa"/>
              <w:start w:w="90" w:type="dxa"/>
              <w:end w:w="90" w:type="dxa"/>
            </w:tcMar>
          </w:tcPr>
          <w:p>
            <w:pPr>
              <w:spacing w:after="0" w:line="252" w:lineRule="auto"/>
            </w:pPr>
            <w:r>
              <w:rPr>
                <w:rFonts w:ascii="Calibri" w:hAnsi="Calibri"/>
                <w:color w:val="0B1F1A"/>
                <w:sz w:val="16"/>
              </w:rPr>
              <w:t>42.71%</w:t>
            </w:r>
          </w:p>
        </w:tc>
      </w:tr>
      <w:tr>
        <w:tc>
          <w:tcPr>
            <w:tcW w:type="dxa" w:w="3456"/>
            <w:tcMar>
              <w:top w:w="70" w:type="dxa"/>
              <w:bottom w:w="70" w:type="dxa"/>
              <w:start w:w="90" w:type="dxa"/>
              <w:end w:w="90" w:type="dxa"/>
            </w:tcMar>
            <w:shd w:val="clear" w:color="auto" w:fill="F5FAF8"/>
          </w:tcPr>
          <w:p>
            <w:pPr>
              <w:spacing w:after="0" w:line="252" w:lineRule="auto"/>
            </w:pPr>
            <w:r>
              <w:rPr>
                <w:rFonts w:ascii="Calibri" w:hAnsi="Calibri"/>
                <w:color w:val="0B1F1A"/>
                <w:sz w:val="16"/>
              </w:rPr>
              <w:t>One year</w:t>
            </w:r>
          </w:p>
        </w:tc>
        <w:tc>
          <w:tcPr>
            <w:tcW w:type="dxa" w:w="2592"/>
            <w:tcMar>
              <w:top w:w="70" w:type="dxa"/>
              <w:bottom w:w="70" w:type="dxa"/>
              <w:start w:w="90" w:type="dxa"/>
              <w:end w:w="90" w:type="dxa"/>
            </w:tcMar>
            <w:shd w:val="clear" w:color="auto" w:fill="F5FAF8"/>
          </w:tcPr>
          <w:p>
            <w:pPr>
              <w:spacing w:after="0" w:line="252" w:lineRule="auto"/>
            </w:pPr>
            <w:r>
              <w:rPr>
                <w:rFonts w:ascii="Calibri" w:hAnsi="Calibri"/>
                <w:color w:val="0B1F1A"/>
                <w:sz w:val="16"/>
              </w:rPr>
              <w:t>1,473</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11.27%</w:t>
            </w:r>
          </w:p>
        </w:tc>
      </w:tr>
      <w:tr>
        <w:tc>
          <w:tcPr>
            <w:tcW w:type="dxa" w:w="3456"/>
            <w:tcMar>
              <w:top w:w="70" w:type="dxa"/>
              <w:bottom w:w="70" w:type="dxa"/>
              <w:start w:w="90" w:type="dxa"/>
              <w:end w:w="90" w:type="dxa"/>
            </w:tcMar>
          </w:tcPr>
          <w:p>
            <w:pPr>
              <w:spacing w:after="0" w:line="252" w:lineRule="auto"/>
            </w:pPr>
            <w:r>
              <w:rPr>
                <w:rFonts w:ascii="Calibri" w:hAnsi="Calibri"/>
                <w:color w:val="0B1F1A"/>
                <w:sz w:val="16"/>
              </w:rPr>
              <w:t>Two year</w:t>
            </w:r>
          </w:p>
        </w:tc>
        <w:tc>
          <w:tcPr>
            <w:tcW w:type="dxa" w:w="2592"/>
            <w:tcMar>
              <w:top w:w="70" w:type="dxa"/>
              <w:bottom w:w="70" w:type="dxa"/>
              <w:start w:w="90" w:type="dxa"/>
              <w:end w:w="90" w:type="dxa"/>
            </w:tcMar>
          </w:tcPr>
          <w:p>
            <w:pPr>
              <w:spacing w:after="0" w:line="252" w:lineRule="auto"/>
            </w:pPr>
            <w:r>
              <w:rPr>
                <w:rFonts w:ascii="Calibri" w:hAnsi="Calibri"/>
                <w:color w:val="0B1F1A"/>
                <w:sz w:val="16"/>
              </w:rPr>
              <w:t>1,695</w:t>
            </w:r>
          </w:p>
        </w:tc>
        <w:tc>
          <w:tcPr>
            <w:tcW w:type="dxa" w:w="2304"/>
            <w:tcMar>
              <w:top w:w="70" w:type="dxa"/>
              <w:bottom w:w="70" w:type="dxa"/>
              <w:start w:w="90" w:type="dxa"/>
              <w:end w:w="90" w:type="dxa"/>
            </w:tcMar>
          </w:tcPr>
          <w:p>
            <w:pPr>
              <w:spacing w:after="0" w:line="252" w:lineRule="auto"/>
            </w:pPr>
            <w:r>
              <w:rPr>
                <w:rFonts w:ascii="Calibri" w:hAnsi="Calibri"/>
                <w:color w:val="0B1F1A"/>
                <w:sz w:val="16"/>
              </w:rPr>
              <w:t>2.83%</w:t>
            </w:r>
          </w:p>
        </w:tc>
      </w:tr>
    </w:tbl>
    <w:p>
      <w:pPr>
        <w:spacing w:after="40"/>
      </w:pPr>
    </w:p>
    <w:p>
      <w:pPr>
        <w:spacing w:after="140" w:line="307" w:lineRule="auto"/>
      </w:pPr>
      <w:r>
        <w:rPr>
          <w:i w:val="0"/>
        </w:rPr>
        <w:t>Month-to-month customers churn far more often than customers on one- or two-year plans. Contract type is therefore both a strong predictor and a strong retention lever: converting a month-to-month customer to an annual plan changes the commitment structure, not just the price.</w:t>
      </w:r>
    </w:p>
    <w:p>
      <w:pPr>
        <w:pStyle w:val="Heading2"/>
        <w:keepNext/>
        <w:spacing w:before="180" w:after="100"/>
      </w:pPr>
      <w:r>
        <w:t>4.2 Churn by internet service and payment method</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3456"/>
            <w:shd w:val="clear" w:color="auto" w:fill="0B3B2E"/>
            <w:tcMar>
              <w:top w:w="70" w:type="dxa"/>
              <w:bottom w:w="70" w:type="dxa"/>
              <w:start w:w="90" w:type="dxa"/>
              <w:end w:w="90" w:type="dxa"/>
            </w:tcMar>
          </w:tcPr>
          <w:p>
            <w:pPr>
              <w:spacing w:after="0"/>
            </w:pPr>
            <w:r>
              <w:rPr>
                <w:rFonts w:ascii="Calibri" w:hAnsi="Calibri"/>
                <w:b/>
                <w:color w:val="FFFFFF"/>
                <w:sz w:val="16"/>
              </w:rPr>
              <w:t>Internet service</w:t>
            </w:r>
          </w:p>
        </w:tc>
        <w:tc>
          <w:tcPr>
            <w:tcW w:type="dxa" w:w="2592"/>
            <w:shd w:val="clear" w:color="auto" w:fill="0B3B2E"/>
            <w:tcMar>
              <w:top w:w="70" w:type="dxa"/>
              <w:bottom w:w="70" w:type="dxa"/>
              <w:start w:w="90" w:type="dxa"/>
              <w:end w:w="90" w:type="dxa"/>
            </w:tcMar>
          </w:tcPr>
          <w:p>
            <w:pPr>
              <w:spacing w:after="0"/>
            </w:pPr>
            <w:r>
              <w:rPr>
                <w:rFonts w:ascii="Calibri" w:hAnsi="Calibri"/>
                <w:b/>
                <w:color w:val="FFFFFF"/>
                <w:sz w:val="16"/>
              </w:rPr>
              <w:t>Customers</w:t>
            </w:r>
          </w:p>
        </w:tc>
        <w:tc>
          <w:tcPr>
            <w:tcW w:type="dxa" w:w="2304"/>
            <w:shd w:val="clear" w:color="auto" w:fill="0B3B2E"/>
            <w:tcMar>
              <w:top w:w="70" w:type="dxa"/>
              <w:bottom w:w="70" w:type="dxa"/>
              <w:start w:w="90" w:type="dxa"/>
              <w:end w:w="90" w:type="dxa"/>
            </w:tcMar>
          </w:tcPr>
          <w:p>
            <w:pPr>
              <w:spacing w:after="0"/>
            </w:pPr>
            <w:r>
              <w:rPr>
                <w:rFonts w:ascii="Calibri" w:hAnsi="Calibri"/>
                <w:b/>
                <w:color w:val="FFFFFF"/>
                <w:sz w:val="16"/>
              </w:rPr>
              <w:t>Churn rate</w:t>
            </w:r>
          </w:p>
        </w:tc>
      </w:tr>
      <w:tr>
        <w:tc>
          <w:tcPr>
            <w:tcW w:type="dxa" w:w="3456"/>
            <w:tcMar>
              <w:top w:w="70" w:type="dxa"/>
              <w:bottom w:w="70" w:type="dxa"/>
              <w:start w:w="90" w:type="dxa"/>
              <w:end w:w="90" w:type="dxa"/>
            </w:tcMar>
          </w:tcPr>
          <w:p>
            <w:pPr>
              <w:spacing w:after="0" w:line="252" w:lineRule="auto"/>
            </w:pPr>
            <w:r>
              <w:rPr>
                <w:rFonts w:ascii="Calibri" w:hAnsi="Calibri"/>
                <w:color w:val="0B1F1A"/>
                <w:sz w:val="16"/>
              </w:rPr>
              <w:t>DSL</w:t>
            </w:r>
          </w:p>
        </w:tc>
        <w:tc>
          <w:tcPr>
            <w:tcW w:type="dxa" w:w="2592"/>
            <w:tcMar>
              <w:top w:w="70" w:type="dxa"/>
              <w:bottom w:w="70" w:type="dxa"/>
              <w:start w:w="90" w:type="dxa"/>
              <w:end w:w="90" w:type="dxa"/>
            </w:tcMar>
          </w:tcPr>
          <w:p>
            <w:pPr>
              <w:spacing w:after="0" w:line="252" w:lineRule="auto"/>
            </w:pPr>
            <w:r>
              <w:rPr>
                <w:rFonts w:ascii="Calibri" w:hAnsi="Calibri"/>
                <w:color w:val="0B1F1A"/>
                <w:sz w:val="16"/>
              </w:rPr>
              <w:t>2,421</w:t>
            </w:r>
          </w:p>
        </w:tc>
        <w:tc>
          <w:tcPr>
            <w:tcW w:type="dxa" w:w="2304"/>
            <w:tcMar>
              <w:top w:w="70" w:type="dxa"/>
              <w:bottom w:w="70" w:type="dxa"/>
              <w:start w:w="90" w:type="dxa"/>
              <w:end w:w="90" w:type="dxa"/>
            </w:tcMar>
          </w:tcPr>
          <w:p>
            <w:pPr>
              <w:spacing w:after="0" w:line="252" w:lineRule="auto"/>
            </w:pPr>
            <w:r>
              <w:rPr>
                <w:rFonts w:ascii="Calibri" w:hAnsi="Calibri"/>
                <w:color w:val="0B1F1A"/>
                <w:sz w:val="16"/>
              </w:rPr>
              <w:t>18.96%</w:t>
            </w:r>
          </w:p>
        </w:tc>
      </w:tr>
      <w:tr>
        <w:tc>
          <w:tcPr>
            <w:tcW w:type="dxa" w:w="3456"/>
            <w:tcMar>
              <w:top w:w="70" w:type="dxa"/>
              <w:bottom w:w="70" w:type="dxa"/>
              <w:start w:w="90" w:type="dxa"/>
              <w:end w:w="90" w:type="dxa"/>
            </w:tcMar>
            <w:shd w:val="clear" w:color="auto" w:fill="F5FAF8"/>
          </w:tcPr>
          <w:p>
            <w:pPr>
              <w:spacing w:after="0" w:line="252" w:lineRule="auto"/>
            </w:pPr>
            <w:r>
              <w:rPr>
                <w:rFonts w:ascii="Calibri" w:hAnsi="Calibri"/>
                <w:color w:val="0B1F1A"/>
                <w:sz w:val="16"/>
              </w:rPr>
              <w:t>Fiber optic</w:t>
            </w:r>
          </w:p>
        </w:tc>
        <w:tc>
          <w:tcPr>
            <w:tcW w:type="dxa" w:w="2592"/>
            <w:tcMar>
              <w:top w:w="70" w:type="dxa"/>
              <w:bottom w:w="70" w:type="dxa"/>
              <w:start w:w="90" w:type="dxa"/>
              <w:end w:w="90" w:type="dxa"/>
            </w:tcMar>
            <w:shd w:val="clear" w:color="auto" w:fill="F5FAF8"/>
          </w:tcPr>
          <w:p>
            <w:pPr>
              <w:spacing w:after="0" w:line="252" w:lineRule="auto"/>
            </w:pPr>
            <w:r>
              <w:rPr>
                <w:rFonts w:ascii="Calibri" w:hAnsi="Calibri"/>
                <w:color w:val="0B1F1A"/>
                <w:sz w:val="16"/>
              </w:rPr>
              <w:t>3,096</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41.89%</w:t>
            </w:r>
          </w:p>
        </w:tc>
      </w:tr>
      <w:tr>
        <w:tc>
          <w:tcPr>
            <w:tcW w:type="dxa" w:w="3456"/>
            <w:tcMar>
              <w:top w:w="70" w:type="dxa"/>
              <w:bottom w:w="70" w:type="dxa"/>
              <w:start w:w="90" w:type="dxa"/>
              <w:end w:w="90" w:type="dxa"/>
            </w:tcMar>
          </w:tcPr>
          <w:p>
            <w:pPr>
              <w:spacing w:after="0" w:line="252" w:lineRule="auto"/>
            </w:pPr>
            <w:r>
              <w:rPr>
                <w:rFonts w:ascii="Calibri" w:hAnsi="Calibri"/>
                <w:color w:val="0B1F1A"/>
                <w:sz w:val="16"/>
              </w:rPr>
              <w:t>No</w:t>
            </w:r>
          </w:p>
        </w:tc>
        <w:tc>
          <w:tcPr>
            <w:tcW w:type="dxa" w:w="2592"/>
            <w:tcMar>
              <w:top w:w="70" w:type="dxa"/>
              <w:bottom w:w="70" w:type="dxa"/>
              <w:start w:w="90" w:type="dxa"/>
              <w:end w:w="90" w:type="dxa"/>
            </w:tcMar>
          </w:tcPr>
          <w:p>
            <w:pPr>
              <w:spacing w:after="0" w:line="252" w:lineRule="auto"/>
            </w:pPr>
            <w:r>
              <w:rPr>
                <w:rFonts w:ascii="Calibri" w:hAnsi="Calibri"/>
                <w:color w:val="0B1F1A"/>
                <w:sz w:val="16"/>
              </w:rPr>
              <w:t>1,526</w:t>
            </w:r>
          </w:p>
        </w:tc>
        <w:tc>
          <w:tcPr>
            <w:tcW w:type="dxa" w:w="2304"/>
            <w:tcMar>
              <w:top w:w="70" w:type="dxa"/>
              <w:bottom w:w="70" w:type="dxa"/>
              <w:start w:w="90" w:type="dxa"/>
              <w:end w:w="90" w:type="dxa"/>
            </w:tcMar>
          </w:tcPr>
          <w:p>
            <w:pPr>
              <w:spacing w:after="0" w:line="252" w:lineRule="auto"/>
            </w:pPr>
            <w:r>
              <w:rPr>
                <w:rFonts w:ascii="Calibri" w:hAnsi="Calibri"/>
                <w:color w:val="0B1F1A"/>
                <w:sz w:val="16"/>
              </w:rPr>
              <w:t>7.40%</w:t>
            </w:r>
          </w:p>
        </w:tc>
      </w:tr>
    </w:tbl>
    <w:p>
      <w:pPr>
        <w:spacing w:after="40"/>
      </w:pP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4032"/>
            <w:shd w:val="clear" w:color="auto" w:fill="0B3B2E"/>
            <w:tcMar>
              <w:top w:w="70" w:type="dxa"/>
              <w:bottom w:w="70" w:type="dxa"/>
              <w:start w:w="90" w:type="dxa"/>
              <w:end w:w="90" w:type="dxa"/>
            </w:tcMar>
          </w:tcPr>
          <w:p>
            <w:pPr>
              <w:spacing w:after="0"/>
            </w:pPr>
            <w:r>
              <w:rPr>
                <w:rFonts w:ascii="Calibri" w:hAnsi="Calibri"/>
                <w:b/>
                <w:color w:val="FFFFFF"/>
                <w:sz w:val="16"/>
              </w:rPr>
              <w:t>Payment method</w:t>
            </w:r>
          </w:p>
        </w:tc>
        <w:tc>
          <w:tcPr>
            <w:tcW w:type="dxa" w:w="2304"/>
            <w:shd w:val="clear" w:color="auto" w:fill="0B3B2E"/>
            <w:tcMar>
              <w:top w:w="70" w:type="dxa"/>
              <w:bottom w:w="70" w:type="dxa"/>
              <w:start w:w="90" w:type="dxa"/>
              <w:end w:w="90" w:type="dxa"/>
            </w:tcMar>
          </w:tcPr>
          <w:p>
            <w:pPr>
              <w:spacing w:after="0"/>
            </w:pPr>
            <w:r>
              <w:rPr>
                <w:rFonts w:ascii="Calibri" w:hAnsi="Calibri"/>
                <w:b/>
                <w:color w:val="FFFFFF"/>
                <w:sz w:val="16"/>
              </w:rPr>
              <w:t>Customers</w:t>
            </w:r>
          </w:p>
        </w:tc>
        <w:tc>
          <w:tcPr>
            <w:tcW w:type="dxa" w:w="2304"/>
            <w:shd w:val="clear" w:color="auto" w:fill="0B3B2E"/>
            <w:tcMar>
              <w:top w:w="70" w:type="dxa"/>
              <w:bottom w:w="70" w:type="dxa"/>
              <w:start w:w="90" w:type="dxa"/>
              <w:end w:w="90" w:type="dxa"/>
            </w:tcMar>
          </w:tcPr>
          <w:p>
            <w:pPr>
              <w:spacing w:after="0"/>
            </w:pPr>
            <w:r>
              <w:rPr>
                <w:rFonts w:ascii="Calibri" w:hAnsi="Calibri"/>
                <w:b/>
                <w:color w:val="FFFFFF"/>
                <w:sz w:val="16"/>
              </w:rPr>
              <w:t>Churn rate</w:t>
            </w:r>
          </w:p>
        </w:tc>
      </w:tr>
      <w:tr>
        <w:tc>
          <w:tcPr>
            <w:tcW w:type="dxa" w:w="4032"/>
            <w:tcMar>
              <w:top w:w="70" w:type="dxa"/>
              <w:bottom w:w="70" w:type="dxa"/>
              <w:start w:w="90" w:type="dxa"/>
              <w:end w:w="90" w:type="dxa"/>
            </w:tcMar>
          </w:tcPr>
          <w:p>
            <w:pPr>
              <w:spacing w:after="0" w:line="252" w:lineRule="auto"/>
            </w:pPr>
            <w:r>
              <w:rPr>
                <w:rFonts w:ascii="Calibri" w:hAnsi="Calibri"/>
                <w:color w:val="0B1F1A"/>
                <w:sz w:val="16"/>
              </w:rPr>
              <w:t>Bank transfer (automatic)</w:t>
            </w:r>
          </w:p>
        </w:tc>
        <w:tc>
          <w:tcPr>
            <w:tcW w:type="dxa" w:w="2304"/>
            <w:tcMar>
              <w:top w:w="70" w:type="dxa"/>
              <w:bottom w:w="70" w:type="dxa"/>
              <w:start w:w="90" w:type="dxa"/>
              <w:end w:w="90" w:type="dxa"/>
            </w:tcMar>
          </w:tcPr>
          <w:p>
            <w:pPr>
              <w:spacing w:after="0" w:line="252" w:lineRule="auto"/>
            </w:pPr>
            <w:r>
              <w:rPr>
                <w:rFonts w:ascii="Calibri" w:hAnsi="Calibri"/>
                <w:color w:val="0B1F1A"/>
                <w:sz w:val="16"/>
              </w:rPr>
              <w:t>1,544</w:t>
            </w:r>
          </w:p>
        </w:tc>
        <w:tc>
          <w:tcPr>
            <w:tcW w:type="dxa" w:w="2304"/>
            <w:tcMar>
              <w:top w:w="70" w:type="dxa"/>
              <w:bottom w:w="70" w:type="dxa"/>
              <w:start w:w="90" w:type="dxa"/>
              <w:end w:w="90" w:type="dxa"/>
            </w:tcMar>
          </w:tcPr>
          <w:p>
            <w:pPr>
              <w:spacing w:after="0" w:line="252" w:lineRule="auto"/>
            </w:pPr>
            <w:r>
              <w:rPr>
                <w:rFonts w:ascii="Calibri" w:hAnsi="Calibri"/>
                <w:color w:val="0B1F1A"/>
                <w:sz w:val="16"/>
              </w:rPr>
              <w:t>16.71%</w:t>
            </w:r>
          </w:p>
        </w:tc>
      </w:tr>
      <w:tr>
        <w:tc>
          <w:tcPr>
            <w:tcW w:type="dxa" w:w="4032"/>
            <w:tcMar>
              <w:top w:w="70" w:type="dxa"/>
              <w:bottom w:w="70" w:type="dxa"/>
              <w:start w:w="90" w:type="dxa"/>
              <w:end w:w="90" w:type="dxa"/>
            </w:tcMar>
            <w:shd w:val="clear" w:color="auto" w:fill="F5FAF8"/>
          </w:tcPr>
          <w:p>
            <w:pPr>
              <w:spacing w:after="0" w:line="252" w:lineRule="auto"/>
            </w:pPr>
            <w:r>
              <w:rPr>
                <w:rFonts w:ascii="Calibri" w:hAnsi="Calibri"/>
                <w:color w:val="0B1F1A"/>
                <w:sz w:val="16"/>
              </w:rPr>
              <w:t>Credit card (automatic)</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1,522</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15.24%</w:t>
            </w:r>
          </w:p>
        </w:tc>
      </w:tr>
      <w:tr>
        <w:tc>
          <w:tcPr>
            <w:tcW w:type="dxa" w:w="4032"/>
            <w:tcMar>
              <w:top w:w="70" w:type="dxa"/>
              <w:bottom w:w="70" w:type="dxa"/>
              <w:start w:w="90" w:type="dxa"/>
              <w:end w:w="90" w:type="dxa"/>
            </w:tcMar>
          </w:tcPr>
          <w:p>
            <w:pPr>
              <w:spacing w:after="0" w:line="252" w:lineRule="auto"/>
            </w:pPr>
            <w:r>
              <w:rPr>
                <w:rFonts w:ascii="Calibri" w:hAnsi="Calibri"/>
                <w:color w:val="0B1F1A"/>
                <w:sz w:val="16"/>
              </w:rPr>
              <w:t>Electronic check</w:t>
            </w:r>
          </w:p>
        </w:tc>
        <w:tc>
          <w:tcPr>
            <w:tcW w:type="dxa" w:w="2304"/>
            <w:tcMar>
              <w:top w:w="70" w:type="dxa"/>
              <w:bottom w:w="70" w:type="dxa"/>
              <w:start w:w="90" w:type="dxa"/>
              <w:end w:w="90" w:type="dxa"/>
            </w:tcMar>
          </w:tcPr>
          <w:p>
            <w:pPr>
              <w:spacing w:after="0" w:line="252" w:lineRule="auto"/>
            </w:pPr>
            <w:r>
              <w:rPr>
                <w:rFonts w:ascii="Calibri" w:hAnsi="Calibri"/>
                <w:color w:val="0B1F1A"/>
                <w:sz w:val="16"/>
              </w:rPr>
              <w:t>2,365</w:t>
            </w:r>
          </w:p>
        </w:tc>
        <w:tc>
          <w:tcPr>
            <w:tcW w:type="dxa" w:w="2304"/>
            <w:tcMar>
              <w:top w:w="70" w:type="dxa"/>
              <w:bottom w:w="70" w:type="dxa"/>
              <w:start w:w="90" w:type="dxa"/>
              <w:end w:w="90" w:type="dxa"/>
            </w:tcMar>
          </w:tcPr>
          <w:p>
            <w:pPr>
              <w:spacing w:after="0" w:line="252" w:lineRule="auto"/>
            </w:pPr>
            <w:r>
              <w:rPr>
                <w:rFonts w:ascii="Calibri" w:hAnsi="Calibri"/>
                <w:color w:val="0B1F1A"/>
                <w:sz w:val="16"/>
              </w:rPr>
              <w:t>45.29%</w:t>
            </w:r>
          </w:p>
        </w:tc>
      </w:tr>
      <w:tr>
        <w:tc>
          <w:tcPr>
            <w:tcW w:type="dxa" w:w="4032"/>
            <w:tcMar>
              <w:top w:w="70" w:type="dxa"/>
              <w:bottom w:w="70" w:type="dxa"/>
              <w:start w:w="90" w:type="dxa"/>
              <w:end w:w="90" w:type="dxa"/>
            </w:tcMar>
            <w:shd w:val="clear" w:color="auto" w:fill="F5FAF8"/>
          </w:tcPr>
          <w:p>
            <w:pPr>
              <w:spacing w:after="0" w:line="252" w:lineRule="auto"/>
            </w:pPr>
            <w:r>
              <w:rPr>
                <w:rFonts w:ascii="Calibri" w:hAnsi="Calibri"/>
                <w:color w:val="0B1F1A"/>
                <w:sz w:val="16"/>
              </w:rPr>
              <w:t>Mailed check</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1,612</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19.11%</w:t>
            </w:r>
          </w:p>
        </w:tc>
      </w:tr>
    </w:tbl>
    <w:p>
      <w:pPr>
        <w:spacing w:after="40"/>
      </w:pPr>
    </w:p>
    <w:p>
      <w:pPr>
        <w:spacing w:after="140" w:line="307" w:lineRule="auto"/>
      </w:pPr>
      <w:r>
        <w:rPr>
          <w:i w:val="0"/>
        </w:rPr>
        <w:t>Fiber-optic customers and electronic-check customers are higher-risk segments. These patterns motivate specific retention rules (plan review, autopay migration) rather than a generic discount for everyone.</w:t>
      </w:r>
    </w:p>
    <w:p>
      <w:pPr>
        <w:pStyle w:val="Heading2"/>
        <w:keepNext/>
        <w:spacing w:before="180" w:after="100"/>
      </w:pPr>
      <w:r>
        <w:t>4.3 What the EDA does not prove</w:t>
      </w:r>
    </w:p>
    <w:p>
      <w:pPr>
        <w:spacing w:after="140" w:line="307" w:lineRule="auto"/>
      </w:pPr>
      <w:r>
        <w:rPr>
          <w:i w:val="0"/>
        </w:rPr>
        <w:t>These are marginal associations. They do not prove that raising the monthly bill causes churn, nor that switching a payment method will retain a customer. The model and the recommendation engine are decision-support tools; offers should be validated with an A/B test or an uplift model.</w:t>
      </w:r>
    </w:p>
    <w:p>
      <w:r>
        <w:br w:type="page"/>
      </w:r>
    </w:p>
    <w:p>
      <w:pPr>
        <w:pStyle w:val="Heading1"/>
        <w:keepNext/>
        <w:spacing w:before="240" w:after="100"/>
      </w:pPr>
      <w:r>
        <w:t>5. Preprocessing and feature engineering</w:t>
      </w:r>
    </w:p>
    <w:p>
      <w:pPr>
        <w:pStyle w:val="Heading2"/>
        <w:keepNext/>
        <w:spacing w:before="180" w:after="100"/>
      </w:pPr>
      <w:r>
        <w:t>5.1 Cleaning and target mapping</w:t>
      </w:r>
    </w:p>
    <w:p>
      <w:pPr>
        <w:pStyle w:val="ListBullet"/>
        <w:spacing w:after="60"/>
      </w:pPr>
      <w:r>
        <w:t>Strip whitespace from column names; keep customerID for joins, never as a feature.</w:t>
      </w:r>
    </w:p>
    <w:p>
      <w:pPr>
        <w:pStyle w:val="ListBullet"/>
        <w:spacing w:after="60"/>
      </w:pPr>
      <w:r>
        <w:t>Convert TotalCharges to numeric; fill tenure = 0 blanks with 0 (semantic zero).</w:t>
      </w:r>
    </w:p>
    <w:p>
      <w:pPr>
        <w:pStyle w:val="ListBullet"/>
        <w:spacing w:after="60"/>
      </w:pPr>
      <w:r>
        <w:t>Map Churn: Yes → 1, No → 0; validate that no other values exist.</w:t>
      </w:r>
    </w:p>
    <w:p>
      <w:pPr>
        <w:pStyle w:val="ListBullet"/>
        <w:spacing w:after="60"/>
      </w:pPr>
      <w:r>
        <w:t>Drop the raw Churn column after creating the binary target.</w:t>
      </w:r>
    </w:p>
    <w:p>
      <w:pPr>
        <w:pStyle w:val="Heading2"/>
        <w:keepNext/>
        <w:spacing w:before="180" w:after="100"/>
      </w:pPr>
      <w:r>
        <w:t>5.2 Engineered features</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2088"/>
            <w:shd w:val="clear" w:color="auto" w:fill="0B3B2E"/>
            <w:tcMar>
              <w:top w:w="70" w:type="dxa"/>
              <w:bottom w:w="70" w:type="dxa"/>
              <w:start w:w="90" w:type="dxa"/>
              <w:end w:w="90" w:type="dxa"/>
            </w:tcMar>
          </w:tcPr>
          <w:p>
            <w:pPr>
              <w:spacing w:after="0"/>
            </w:pPr>
            <w:r>
              <w:rPr>
                <w:rFonts w:ascii="Calibri" w:hAnsi="Calibri"/>
                <w:b/>
                <w:color w:val="FFFFFF"/>
                <w:sz w:val="16"/>
              </w:rPr>
              <w:t>Feature</w:t>
            </w:r>
          </w:p>
        </w:tc>
        <w:tc>
          <w:tcPr>
            <w:tcW w:type="dxa" w:w="5256"/>
            <w:shd w:val="clear" w:color="auto" w:fill="0B3B2E"/>
            <w:tcMar>
              <w:top w:w="70" w:type="dxa"/>
              <w:bottom w:w="70" w:type="dxa"/>
              <w:start w:w="90" w:type="dxa"/>
              <w:end w:w="90" w:type="dxa"/>
            </w:tcMar>
          </w:tcPr>
          <w:p>
            <w:pPr>
              <w:spacing w:after="0"/>
            </w:pPr>
            <w:r>
              <w:rPr>
                <w:rFonts w:ascii="Calibri" w:hAnsi="Calibri"/>
                <w:b/>
                <w:color w:val="FFFFFF"/>
                <w:sz w:val="16"/>
              </w:rPr>
              <w:t>Definition</w:t>
            </w:r>
          </w:p>
        </w:tc>
        <w:tc>
          <w:tcPr>
            <w:tcW w:type="dxa" w:w="2448"/>
            <w:shd w:val="clear" w:color="auto" w:fill="0B3B2E"/>
            <w:tcMar>
              <w:top w:w="70" w:type="dxa"/>
              <w:bottom w:w="70" w:type="dxa"/>
              <w:start w:w="90" w:type="dxa"/>
              <w:end w:w="90" w:type="dxa"/>
            </w:tcMar>
          </w:tcPr>
          <w:p>
            <w:pPr>
              <w:spacing w:after="0"/>
            </w:pPr>
            <w:r>
              <w:rPr>
                <w:rFonts w:ascii="Calibri" w:hAnsi="Calibri"/>
                <w:b/>
                <w:color w:val="FFFFFF"/>
                <w:sz w:val="16"/>
              </w:rPr>
              <w:t>Rationale</w:t>
            </w:r>
          </w:p>
        </w:tc>
      </w:tr>
      <w:tr>
        <w:tc>
          <w:tcPr>
            <w:tcW w:type="dxa" w:w="2088"/>
            <w:tcMar>
              <w:top w:w="70" w:type="dxa"/>
              <w:bottom w:w="70" w:type="dxa"/>
              <w:start w:w="90" w:type="dxa"/>
              <w:end w:w="90" w:type="dxa"/>
            </w:tcMar>
          </w:tcPr>
          <w:p>
            <w:pPr>
              <w:spacing w:after="0" w:line="252" w:lineRule="auto"/>
            </w:pPr>
            <w:r>
              <w:rPr>
                <w:rFonts w:ascii="Calibri" w:hAnsi="Calibri"/>
                <w:color w:val="0B1F1A"/>
                <w:sz w:val="16"/>
              </w:rPr>
              <w:t>NumServices</w:t>
            </w:r>
          </w:p>
        </w:tc>
        <w:tc>
          <w:tcPr>
            <w:tcW w:type="dxa" w:w="5256"/>
            <w:tcMar>
              <w:top w:w="70" w:type="dxa"/>
              <w:bottom w:w="70" w:type="dxa"/>
              <w:start w:w="90" w:type="dxa"/>
              <w:end w:w="90" w:type="dxa"/>
            </w:tcMar>
          </w:tcPr>
          <w:p>
            <w:pPr>
              <w:spacing w:after="0" w:line="252" w:lineRule="auto"/>
            </w:pPr>
            <w:r>
              <w:rPr>
                <w:rFonts w:ascii="Calibri" w:hAnsi="Calibri"/>
                <w:color w:val="0B1F1A"/>
                <w:sz w:val="16"/>
              </w:rPr>
              <w:t>Count of subscribed services across phone, internet add-ons and streaming</w:t>
            </w:r>
          </w:p>
        </w:tc>
        <w:tc>
          <w:tcPr>
            <w:tcW w:type="dxa" w:w="2448"/>
            <w:tcMar>
              <w:top w:w="70" w:type="dxa"/>
              <w:bottom w:w="70" w:type="dxa"/>
              <w:start w:w="90" w:type="dxa"/>
              <w:end w:w="90" w:type="dxa"/>
            </w:tcMar>
          </w:tcPr>
          <w:p>
            <w:pPr>
              <w:spacing w:after="0" w:line="252" w:lineRule="auto"/>
            </w:pPr>
            <w:r>
              <w:rPr>
                <w:rFonts w:ascii="Calibri" w:hAnsi="Calibri"/>
                <w:color w:val="0B1F1A"/>
                <w:sz w:val="16"/>
              </w:rPr>
              <w:t>Product depth / switching cost</w:t>
            </w:r>
          </w:p>
        </w:tc>
      </w:tr>
      <w:tr>
        <w:tc>
          <w:tcPr>
            <w:tcW w:type="dxa" w:w="2088"/>
            <w:tcMar>
              <w:top w:w="70" w:type="dxa"/>
              <w:bottom w:w="70" w:type="dxa"/>
              <w:start w:w="90" w:type="dxa"/>
              <w:end w:w="90" w:type="dxa"/>
            </w:tcMar>
            <w:shd w:val="clear" w:color="auto" w:fill="F5FAF8"/>
          </w:tcPr>
          <w:p>
            <w:pPr>
              <w:spacing w:after="0" w:line="252" w:lineRule="auto"/>
            </w:pPr>
            <w:r>
              <w:rPr>
                <w:rFonts w:ascii="Calibri" w:hAnsi="Calibri"/>
                <w:color w:val="0B1F1A"/>
                <w:sz w:val="16"/>
              </w:rPr>
              <w:t>SupportServices</w:t>
            </w:r>
          </w:p>
        </w:tc>
        <w:tc>
          <w:tcPr>
            <w:tcW w:type="dxa" w:w="5256"/>
            <w:tcMar>
              <w:top w:w="70" w:type="dxa"/>
              <w:bottom w:w="70" w:type="dxa"/>
              <w:start w:w="90" w:type="dxa"/>
              <w:end w:w="90" w:type="dxa"/>
            </w:tcMar>
            <w:shd w:val="clear" w:color="auto" w:fill="F5FAF8"/>
          </w:tcPr>
          <w:p>
            <w:pPr>
              <w:spacing w:after="0" w:line="252" w:lineRule="auto"/>
            </w:pPr>
            <w:r>
              <w:rPr>
                <w:rFonts w:ascii="Calibri" w:hAnsi="Calibri"/>
                <w:color w:val="0B1F1A"/>
                <w:sz w:val="16"/>
              </w:rPr>
              <w:t>Count of OnlineSecurity, OnlineBackup, DeviceProtection and TechSupport = Yes</w:t>
            </w:r>
          </w:p>
        </w:tc>
        <w:tc>
          <w:tcPr>
            <w:tcW w:type="dxa" w:w="2448"/>
            <w:tcMar>
              <w:top w:w="70" w:type="dxa"/>
              <w:bottom w:w="70" w:type="dxa"/>
              <w:start w:w="90" w:type="dxa"/>
              <w:end w:w="90" w:type="dxa"/>
            </w:tcMar>
            <w:shd w:val="clear" w:color="auto" w:fill="F5FAF8"/>
          </w:tcPr>
          <w:p>
            <w:pPr>
              <w:spacing w:after="0" w:line="252" w:lineRule="auto"/>
            </w:pPr>
            <w:r>
              <w:rPr>
                <w:rFonts w:ascii="Calibri" w:hAnsi="Calibri"/>
                <w:color w:val="0B1F1A"/>
                <w:sz w:val="16"/>
              </w:rPr>
              <w:t>Service stickiness</w:t>
            </w:r>
          </w:p>
        </w:tc>
      </w:tr>
      <w:tr>
        <w:tc>
          <w:tcPr>
            <w:tcW w:type="dxa" w:w="2088"/>
            <w:tcMar>
              <w:top w:w="70" w:type="dxa"/>
              <w:bottom w:w="70" w:type="dxa"/>
              <w:start w:w="90" w:type="dxa"/>
              <w:end w:w="90" w:type="dxa"/>
            </w:tcMar>
          </w:tcPr>
          <w:p>
            <w:pPr>
              <w:spacing w:after="0" w:line="252" w:lineRule="auto"/>
            </w:pPr>
            <w:r>
              <w:rPr>
                <w:rFonts w:ascii="Calibri" w:hAnsi="Calibri"/>
                <w:color w:val="0B1F1A"/>
                <w:sz w:val="16"/>
              </w:rPr>
              <w:t>StreamingServices</w:t>
            </w:r>
          </w:p>
        </w:tc>
        <w:tc>
          <w:tcPr>
            <w:tcW w:type="dxa" w:w="5256"/>
            <w:tcMar>
              <w:top w:w="70" w:type="dxa"/>
              <w:bottom w:w="70" w:type="dxa"/>
              <w:start w:w="90" w:type="dxa"/>
              <w:end w:w="90" w:type="dxa"/>
            </w:tcMar>
          </w:tcPr>
          <w:p>
            <w:pPr>
              <w:spacing w:after="0" w:line="252" w:lineRule="auto"/>
            </w:pPr>
            <w:r>
              <w:rPr>
                <w:rFonts w:ascii="Calibri" w:hAnsi="Calibri"/>
                <w:color w:val="0B1F1A"/>
                <w:sz w:val="16"/>
              </w:rPr>
              <w:t>Count of StreamingTV and StreamingMovies = Yes</w:t>
            </w:r>
          </w:p>
        </w:tc>
        <w:tc>
          <w:tcPr>
            <w:tcW w:type="dxa" w:w="2448"/>
            <w:tcMar>
              <w:top w:w="70" w:type="dxa"/>
              <w:bottom w:w="70" w:type="dxa"/>
              <w:start w:w="90" w:type="dxa"/>
              <w:end w:w="90" w:type="dxa"/>
            </w:tcMar>
          </w:tcPr>
          <w:p>
            <w:pPr>
              <w:spacing w:after="0" w:line="252" w:lineRule="auto"/>
            </w:pPr>
            <w:r>
              <w:rPr>
                <w:rFonts w:ascii="Calibri" w:hAnsi="Calibri"/>
                <w:color w:val="0B1F1A"/>
                <w:sz w:val="16"/>
              </w:rPr>
              <w:t>Entertainment bundle behaviour</w:t>
            </w:r>
          </w:p>
        </w:tc>
      </w:tr>
      <w:tr>
        <w:tc>
          <w:tcPr>
            <w:tcW w:type="dxa" w:w="2088"/>
            <w:tcMar>
              <w:top w:w="70" w:type="dxa"/>
              <w:bottom w:w="70" w:type="dxa"/>
              <w:start w:w="90" w:type="dxa"/>
              <w:end w:w="90" w:type="dxa"/>
            </w:tcMar>
            <w:shd w:val="clear" w:color="auto" w:fill="F5FAF8"/>
          </w:tcPr>
          <w:p>
            <w:pPr>
              <w:spacing w:after="0" w:line="252" w:lineRule="auto"/>
            </w:pPr>
            <w:r>
              <w:rPr>
                <w:rFonts w:ascii="Calibri" w:hAnsi="Calibri"/>
                <w:color w:val="0B1F1A"/>
                <w:sz w:val="16"/>
              </w:rPr>
              <w:t>IsNewCustomer</w:t>
            </w:r>
          </w:p>
        </w:tc>
        <w:tc>
          <w:tcPr>
            <w:tcW w:type="dxa" w:w="5256"/>
            <w:tcMar>
              <w:top w:w="70" w:type="dxa"/>
              <w:bottom w:w="70" w:type="dxa"/>
              <w:start w:w="90" w:type="dxa"/>
              <w:end w:w="90" w:type="dxa"/>
            </w:tcMar>
            <w:shd w:val="clear" w:color="auto" w:fill="F5FAF8"/>
          </w:tcPr>
          <w:p>
            <w:pPr>
              <w:spacing w:after="0" w:line="252" w:lineRule="auto"/>
            </w:pPr>
            <w:r>
              <w:rPr>
                <w:rFonts w:ascii="Calibri" w:hAnsi="Calibri"/>
                <w:color w:val="0B1F1A"/>
                <w:sz w:val="16"/>
              </w:rPr>
              <w:t>1 when tenure ≤ 6 months</w:t>
            </w:r>
          </w:p>
        </w:tc>
        <w:tc>
          <w:tcPr>
            <w:tcW w:type="dxa" w:w="2448"/>
            <w:tcMar>
              <w:top w:w="70" w:type="dxa"/>
              <w:bottom w:w="70" w:type="dxa"/>
              <w:start w:w="90" w:type="dxa"/>
              <w:end w:w="90" w:type="dxa"/>
            </w:tcMar>
            <w:shd w:val="clear" w:color="auto" w:fill="F5FAF8"/>
          </w:tcPr>
          <w:p>
            <w:pPr>
              <w:spacing w:after="0" w:line="252" w:lineRule="auto"/>
            </w:pPr>
            <w:r>
              <w:rPr>
                <w:rFonts w:ascii="Calibri" w:hAnsi="Calibri"/>
                <w:color w:val="0B1F1A"/>
                <w:sz w:val="16"/>
              </w:rPr>
              <w:t>First six months carry the highest churn risk</w:t>
            </w:r>
          </w:p>
        </w:tc>
      </w:tr>
      <w:tr>
        <w:tc>
          <w:tcPr>
            <w:tcW w:type="dxa" w:w="2088"/>
            <w:tcMar>
              <w:top w:w="70" w:type="dxa"/>
              <w:bottom w:w="70" w:type="dxa"/>
              <w:start w:w="90" w:type="dxa"/>
              <w:end w:w="90" w:type="dxa"/>
            </w:tcMar>
          </w:tcPr>
          <w:p>
            <w:pPr>
              <w:spacing w:after="0" w:line="252" w:lineRule="auto"/>
            </w:pPr>
            <w:r>
              <w:rPr>
                <w:rFonts w:ascii="Calibri" w:hAnsi="Calibri"/>
                <w:color w:val="0B1F1A"/>
                <w:sz w:val="16"/>
              </w:rPr>
              <w:t>HasFamily</w:t>
            </w:r>
          </w:p>
        </w:tc>
        <w:tc>
          <w:tcPr>
            <w:tcW w:type="dxa" w:w="5256"/>
            <w:tcMar>
              <w:top w:w="70" w:type="dxa"/>
              <w:bottom w:w="70" w:type="dxa"/>
              <w:start w:w="90" w:type="dxa"/>
              <w:end w:w="90" w:type="dxa"/>
            </w:tcMar>
          </w:tcPr>
          <w:p>
            <w:pPr>
              <w:spacing w:after="0" w:line="252" w:lineRule="auto"/>
            </w:pPr>
            <w:r>
              <w:rPr>
                <w:rFonts w:ascii="Calibri" w:hAnsi="Calibri"/>
                <w:color w:val="0B1F1A"/>
                <w:sz w:val="16"/>
              </w:rPr>
              <w:t>1 when Partner = Yes or Dependents = Yes</w:t>
            </w:r>
          </w:p>
        </w:tc>
        <w:tc>
          <w:tcPr>
            <w:tcW w:type="dxa" w:w="2448"/>
            <w:tcMar>
              <w:top w:w="70" w:type="dxa"/>
              <w:bottom w:w="70" w:type="dxa"/>
              <w:start w:w="90" w:type="dxa"/>
              <w:end w:w="90" w:type="dxa"/>
            </w:tcMar>
          </w:tcPr>
          <w:p>
            <w:pPr>
              <w:spacing w:after="0" w:line="252" w:lineRule="auto"/>
            </w:pPr>
            <w:r>
              <w:rPr>
                <w:rFonts w:ascii="Calibri" w:hAnsi="Calibri"/>
                <w:color w:val="0B1F1A"/>
                <w:sz w:val="16"/>
              </w:rPr>
              <w:t>Household stability</w:t>
            </w:r>
          </w:p>
        </w:tc>
      </w:tr>
    </w:tbl>
    <w:p>
      <w:pPr>
        <w:spacing w:after="40"/>
      </w:pPr>
    </w:p>
    <w:p>
      <w:pPr>
        <w:spacing w:after="140" w:line="307" w:lineRule="auto"/>
      </w:pPr>
      <w:r>
        <w:rPr>
          <w:i w:val="0"/>
        </w:rPr>
        <w:t>Ratio features such as TotalCharges / tenure were tested and deliberately excluded from the final model. They are nearly collinear with tenure and monthly charges and produced unstable, counter-intuitive logistic coefficients and SHAP values. Removing them cost less than 0.001 ROC-AUC and made the explanations much easier to defend in a viva.</w:t>
      </w:r>
    </w:p>
    <w:p>
      <w:pPr>
        <w:pStyle w:val="Heading2"/>
        <w:keepNext/>
        <w:spacing w:before="180" w:after="100"/>
      </w:pPr>
      <w:r>
        <w:t>5.3 Leak-free pipeline</w:t>
      </w:r>
    </w:p>
    <w:p>
      <w:pPr>
        <w:spacing w:after="140" w:line="307" w:lineRule="auto"/>
      </w:pPr>
      <w:r>
        <w:rPr>
          <w:i w:val="0"/>
        </w:rPr>
        <w:t>Every model is a single scikit-learn Pipeline: numeric columns go through median imputation and StandardScaler; categorical columns go through most-frequent imputation and OneHotEncoder(handle_unknown='ignore'). The pipeline is cloned inside every cross-validation fold, so imputers, scalers and encoders are fitted only on the training part of that fold. This prevents data leakage.</w:t>
      </w:r>
    </w:p>
    <w:p>
      <w:pPr>
        <w:pStyle w:val="ListBullet"/>
        <w:spacing w:after="60"/>
      </w:pPr>
      <w:r>
        <w:t>Stratified 80/20 train–test split with random_state = 42.</w:t>
      </w:r>
    </w:p>
    <w:p>
      <w:pPr>
        <w:pStyle w:val="ListBullet"/>
        <w:spacing w:after="60"/>
      </w:pPr>
      <w:r>
        <w:t>Scaling is required by KNN and SVM; it is harmless for trees and keeps one pipeline for a fair comparison.</w:t>
      </w:r>
    </w:p>
    <w:p>
      <w:pPr>
        <w:pStyle w:val="ListBullet"/>
        <w:spacing w:after="60"/>
      </w:pPr>
      <w:r>
        <w:t>Unseen categories at serving time are ignored by the encoder instead of crashing the API.</w:t>
      </w:r>
    </w:p>
    <w:p>
      <w:pPr>
        <w:pStyle w:val="ListBullet"/>
        <w:spacing w:after="60"/>
      </w:pPr>
      <w:r>
        <w:t>The test set is touched once, after model selection and threshold tuning, to avoid optimistic bias.</w:t>
      </w:r>
    </w:p>
    <w:p>
      <w:r>
        <w:br w:type="page"/>
      </w:r>
    </w:p>
    <w:p>
      <w:pPr>
        <w:pStyle w:val="Heading1"/>
        <w:keepNext/>
        <w:spacing w:before="240" w:after="100"/>
      </w:pPr>
      <w:r>
        <w:t>6. Models and methodology</w:t>
      </w:r>
    </w:p>
    <w:p>
      <w:pPr>
        <w:spacing w:after="140" w:line="307" w:lineRule="auto"/>
      </w:pPr>
      <w:r>
        <w:rPr>
          <w:i w:val="0"/>
        </w:rPr>
        <w:t>Six model families were compared with deliberately comparable defaults. The goal is a fair model-family comparison rather than an exhaustive per-model hyperparameter search.</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2232"/>
            <w:shd w:val="clear" w:color="auto" w:fill="0B3B2E"/>
            <w:tcMar>
              <w:top w:w="70" w:type="dxa"/>
              <w:bottom w:w="70" w:type="dxa"/>
              <w:start w:w="90" w:type="dxa"/>
              <w:end w:w="90" w:type="dxa"/>
            </w:tcMar>
          </w:tcPr>
          <w:p>
            <w:pPr>
              <w:spacing w:after="0"/>
            </w:pPr>
            <w:r>
              <w:rPr>
                <w:rFonts w:ascii="Calibri" w:hAnsi="Calibri"/>
                <w:b/>
                <w:color w:val="FFFFFF"/>
                <w:sz w:val="16"/>
              </w:rPr>
              <w:t>Model</w:t>
            </w:r>
          </w:p>
        </w:tc>
        <w:tc>
          <w:tcPr>
            <w:tcW w:type="dxa" w:w="2376"/>
            <w:shd w:val="clear" w:color="auto" w:fill="0B3B2E"/>
            <w:tcMar>
              <w:top w:w="70" w:type="dxa"/>
              <w:bottom w:w="70" w:type="dxa"/>
              <w:start w:w="90" w:type="dxa"/>
              <w:end w:w="90" w:type="dxa"/>
            </w:tcMar>
          </w:tcPr>
          <w:p>
            <w:pPr>
              <w:spacing w:after="0"/>
            </w:pPr>
            <w:r>
              <w:rPr>
                <w:rFonts w:ascii="Calibri" w:hAnsi="Calibri"/>
                <w:b/>
                <w:color w:val="FFFFFF"/>
                <w:sz w:val="16"/>
              </w:rPr>
              <w:t>Role</w:t>
            </w:r>
          </w:p>
        </w:tc>
        <w:tc>
          <w:tcPr>
            <w:tcW w:type="dxa" w:w="5328"/>
            <w:shd w:val="clear" w:color="auto" w:fill="0B3B2E"/>
            <w:tcMar>
              <w:top w:w="70" w:type="dxa"/>
              <w:bottom w:w="70" w:type="dxa"/>
              <w:start w:w="90" w:type="dxa"/>
              <w:end w:w="90" w:type="dxa"/>
            </w:tcMar>
          </w:tcPr>
          <w:p>
            <w:pPr>
              <w:spacing w:after="0"/>
            </w:pPr>
            <w:r>
              <w:rPr>
                <w:rFonts w:ascii="Calibri" w:hAnsi="Calibri"/>
                <w:b/>
                <w:color w:val="FFFFFF"/>
                <w:sz w:val="16"/>
              </w:rPr>
              <w:t>Key settings</w:t>
            </w:r>
          </w:p>
        </w:tc>
      </w:tr>
      <w:tr>
        <w:tc>
          <w:tcPr>
            <w:tcW w:type="dxa" w:w="2232"/>
            <w:tcMar>
              <w:top w:w="70" w:type="dxa"/>
              <w:bottom w:w="70" w:type="dxa"/>
              <w:start w:w="90" w:type="dxa"/>
              <w:end w:w="90" w:type="dxa"/>
            </w:tcMar>
          </w:tcPr>
          <w:p>
            <w:pPr>
              <w:spacing w:after="0" w:line="252" w:lineRule="auto"/>
            </w:pPr>
            <w:r>
              <w:rPr>
                <w:rFonts w:ascii="Calibri" w:hAnsi="Calibri"/>
                <w:color w:val="0B1F1A"/>
                <w:sz w:val="16"/>
              </w:rPr>
              <w:t>Logistic Regression</w:t>
            </w:r>
          </w:p>
        </w:tc>
        <w:tc>
          <w:tcPr>
            <w:tcW w:type="dxa" w:w="2376"/>
            <w:tcMar>
              <w:top w:w="70" w:type="dxa"/>
              <w:bottom w:w="70" w:type="dxa"/>
              <w:start w:w="90" w:type="dxa"/>
              <w:end w:w="90" w:type="dxa"/>
            </w:tcMar>
          </w:tcPr>
          <w:p>
            <w:pPr>
              <w:spacing w:after="0" w:line="252" w:lineRule="auto"/>
            </w:pPr>
            <w:r>
              <w:rPr>
                <w:rFonts w:ascii="Calibri" w:hAnsi="Calibri"/>
                <w:color w:val="0B1F1A"/>
                <w:sz w:val="16"/>
              </w:rPr>
              <w:t>Linear, interpretable baseline</w:t>
            </w:r>
          </w:p>
        </w:tc>
        <w:tc>
          <w:tcPr>
            <w:tcW w:type="dxa" w:w="5328"/>
            <w:tcMar>
              <w:top w:w="70" w:type="dxa"/>
              <w:bottom w:w="70" w:type="dxa"/>
              <w:start w:w="90" w:type="dxa"/>
              <w:end w:w="90" w:type="dxa"/>
            </w:tcMar>
          </w:tcPr>
          <w:p>
            <w:pPr>
              <w:spacing w:after="0" w:line="252" w:lineRule="auto"/>
            </w:pPr>
            <w:r>
              <w:rPr>
                <w:rFonts w:ascii="Calibri" w:hAnsi="Calibri"/>
                <w:color w:val="0B1F1A"/>
                <w:sz w:val="16"/>
              </w:rPr>
              <w:t>C = 1.0, lbfgs, max_iter = 2000</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6"/>
              </w:rPr>
              <w:t>Decision Tree</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Rule-based nonlinear baseline</w:t>
            </w:r>
          </w:p>
        </w:tc>
        <w:tc>
          <w:tcPr>
            <w:tcW w:type="dxa" w:w="5328"/>
            <w:tcMar>
              <w:top w:w="70" w:type="dxa"/>
              <w:bottom w:w="70" w:type="dxa"/>
              <w:start w:w="90" w:type="dxa"/>
              <w:end w:w="90" w:type="dxa"/>
            </w:tcMar>
            <w:shd w:val="clear" w:color="auto" w:fill="F5FAF8"/>
          </w:tcPr>
          <w:p>
            <w:pPr>
              <w:spacing w:after="0" w:line="252" w:lineRule="auto"/>
            </w:pPr>
            <w:r>
              <w:rPr>
                <w:rFonts w:ascii="Calibri" w:hAnsi="Calibri"/>
                <w:color w:val="0B1F1A"/>
                <w:sz w:val="16"/>
              </w:rPr>
              <w:t>max_depth = 6, min_samples_leaf = 25</w:t>
            </w:r>
          </w:p>
        </w:tc>
      </w:tr>
      <w:tr>
        <w:tc>
          <w:tcPr>
            <w:tcW w:type="dxa" w:w="2232"/>
            <w:tcMar>
              <w:top w:w="70" w:type="dxa"/>
              <w:bottom w:w="70" w:type="dxa"/>
              <w:start w:w="90" w:type="dxa"/>
              <w:end w:w="90" w:type="dxa"/>
            </w:tcMar>
          </w:tcPr>
          <w:p>
            <w:pPr>
              <w:spacing w:after="0" w:line="252" w:lineRule="auto"/>
            </w:pPr>
            <w:r>
              <w:rPr>
                <w:rFonts w:ascii="Calibri" w:hAnsi="Calibri"/>
                <w:color w:val="0B1F1A"/>
                <w:sz w:val="16"/>
              </w:rPr>
              <w:t>Random Forest</w:t>
            </w:r>
          </w:p>
        </w:tc>
        <w:tc>
          <w:tcPr>
            <w:tcW w:type="dxa" w:w="2376"/>
            <w:tcMar>
              <w:top w:w="70" w:type="dxa"/>
              <w:bottom w:w="70" w:type="dxa"/>
              <w:start w:w="90" w:type="dxa"/>
              <w:end w:w="90" w:type="dxa"/>
            </w:tcMar>
          </w:tcPr>
          <w:p>
            <w:pPr>
              <w:spacing w:after="0" w:line="252" w:lineRule="auto"/>
            </w:pPr>
            <w:r>
              <w:rPr>
                <w:rFonts w:ascii="Calibri" w:hAnsi="Calibri"/>
                <w:color w:val="0B1F1A"/>
                <w:sz w:val="16"/>
              </w:rPr>
              <w:t>Bagged trees</w:t>
            </w:r>
          </w:p>
        </w:tc>
        <w:tc>
          <w:tcPr>
            <w:tcW w:type="dxa" w:w="5328"/>
            <w:tcMar>
              <w:top w:w="70" w:type="dxa"/>
              <w:bottom w:w="70" w:type="dxa"/>
              <w:start w:w="90" w:type="dxa"/>
              <w:end w:w="90" w:type="dxa"/>
            </w:tcMar>
          </w:tcPr>
          <w:p>
            <w:pPr>
              <w:spacing w:after="0" w:line="252" w:lineRule="auto"/>
            </w:pPr>
            <w:r>
              <w:rPr>
                <w:rFonts w:ascii="Calibri" w:hAnsi="Calibri"/>
                <w:color w:val="0B1F1A"/>
                <w:sz w:val="16"/>
              </w:rPr>
              <w:t>400 trees, min_samples_leaf = 2, max_features = sqrt</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6"/>
              </w:rPr>
              <w:t>XGBoost</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Gradient-boosted trees</w:t>
            </w:r>
          </w:p>
        </w:tc>
        <w:tc>
          <w:tcPr>
            <w:tcW w:type="dxa" w:w="5328"/>
            <w:tcMar>
              <w:top w:w="70" w:type="dxa"/>
              <w:bottom w:w="70" w:type="dxa"/>
              <w:start w:w="90" w:type="dxa"/>
              <w:end w:w="90" w:type="dxa"/>
            </w:tcMar>
            <w:shd w:val="clear" w:color="auto" w:fill="F5FAF8"/>
          </w:tcPr>
          <w:p>
            <w:pPr>
              <w:spacing w:after="0" w:line="252" w:lineRule="auto"/>
            </w:pPr>
            <w:r>
              <w:rPr>
                <w:rFonts w:ascii="Calibri" w:hAnsi="Calibri"/>
                <w:color w:val="0B1F1A"/>
                <w:sz w:val="16"/>
              </w:rPr>
              <w:t>400 rounds, depth 4, lr 0.05, subsample 0.9</w:t>
            </w:r>
          </w:p>
        </w:tc>
      </w:tr>
      <w:tr>
        <w:tc>
          <w:tcPr>
            <w:tcW w:type="dxa" w:w="2232"/>
            <w:tcMar>
              <w:top w:w="70" w:type="dxa"/>
              <w:bottom w:w="70" w:type="dxa"/>
              <w:start w:w="90" w:type="dxa"/>
              <w:end w:w="90" w:type="dxa"/>
            </w:tcMar>
          </w:tcPr>
          <w:p>
            <w:pPr>
              <w:spacing w:after="0" w:line="252" w:lineRule="auto"/>
            </w:pPr>
            <w:r>
              <w:rPr>
                <w:rFonts w:ascii="Calibri" w:hAnsi="Calibri"/>
                <w:color w:val="0B1F1A"/>
                <w:sz w:val="16"/>
              </w:rPr>
              <w:t>K-Nearest Neighbours</w:t>
            </w:r>
          </w:p>
        </w:tc>
        <w:tc>
          <w:tcPr>
            <w:tcW w:type="dxa" w:w="2376"/>
            <w:tcMar>
              <w:top w:w="70" w:type="dxa"/>
              <w:bottom w:w="70" w:type="dxa"/>
              <w:start w:w="90" w:type="dxa"/>
              <w:end w:w="90" w:type="dxa"/>
            </w:tcMar>
          </w:tcPr>
          <w:p>
            <w:pPr>
              <w:spacing w:after="0" w:line="252" w:lineRule="auto"/>
            </w:pPr>
            <w:r>
              <w:rPr>
                <w:rFonts w:ascii="Calibri" w:hAnsi="Calibri"/>
                <w:color w:val="0B1F1A"/>
                <w:sz w:val="16"/>
              </w:rPr>
              <w:t>Distance-based learner</w:t>
            </w:r>
          </w:p>
        </w:tc>
        <w:tc>
          <w:tcPr>
            <w:tcW w:type="dxa" w:w="5328"/>
            <w:tcMar>
              <w:top w:w="70" w:type="dxa"/>
              <w:bottom w:w="70" w:type="dxa"/>
              <w:start w:w="90" w:type="dxa"/>
              <w:end w:w="90" w:type="dxa"/>
            </w:tcMar>
          </w:tcPr>
          <w:p>
            <w:pPr>
              <w:spacing w:after="0" w:line="252" w:lineRule="auto"/>
            </w:pPr>
            <w:r>
              <w:rPr>
                <w:rFonts w:ascii="Calibri" w:hAnsi="Calibri"/>
                <w:color w:val="0B1F1A"/>
                <w:sz w:val="16"/>
              </w:rPr>
              <w:t>k = 25, distance weights, scaled features</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6"/>
              </w:rPr>
              <w:t>Support Vector Machine</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RBF margin classifier</w:t>
            </w:r>
          </w:p>
        </w:tc>
        <w:tc>
          <w:tcPr>
            <w:tcW w:type="dxa" w:w="5328"/>
            <w:tcMar>
              <w:top w:w="70" w:type="dxa"/>
              <w:bottom w:w="70" w:type="dxa"/>
              <w:start w:w="90" w:type="dxa"/>
              <w:end w:w="90" w:type="dxa"/>
            </w:tcMar>
            <w:shd w:val="clear" w:color="auto" w:fill="F5FAF8"/>
          </w:tcPr>
          <w:p>
            <w:pPr>
              <w:spacing w:after="0" w:line="252" w:lineRule="auto"/>
            </w:pPr>
            <w:r>
              <w:rPr>
                <w:rFonts w:ascii="Calibri" w:hAnsi="Calibri"/>
                <w:color w:val="0B1F1A"/>
                <w:sz w:val="16"/>
              </w:rPr>
              <w:t>C = 1.0, Platt-calibrated probabilities</w:t>
            </w:r>
          </w:p>
        </w:tc>
      </w:tr>
    </w:tbl>
    <w:p>
      <w:pPr>
        <w:spacing w:after="40"/>
      </w:pPr>
    </w:p>
    <w:p>
      <w:pPr>
        <w:pStyle w:val="Heading2"/>
        <w:keepNext/>
        <w:spacing w:before="180" w:after="100"/>
      </w:pPr>
      <w:r>
        <w:t>6.1 Cross-validation and selection</w:t>
      </w:r>
    </w:p>
    <w:p>
      <w:pPr>
        <w:spacing w:after="140" w:line="307" w:lineRule="auto"/>
      </w:pPr>
      <w:r>
        <w:rPr>
          <w:i w:val="0"/>
        </w:rPr>
        <w:t>Stratified 5-fold cross-validation is run on the training set only. For each fold, the whole pipeline is refitted, so preprocessing cannot leak. ROC-AUC is the primary metric because it measures ranking quality independently of a single threshold and is robust to the 26.5% class imbalance. Ties are broken by PR-AUC and then F1. The chosen model is refitted on the full training set and evaluated once on the held-out test set.</w:t>
      </w:r>
    </w:p>
    <w:p>
      <w:pPr>
        <w:pStyle w:val="Heading2"/>
        <w:keepNext/>
        <w:spacing w:before="180" w:after="100"/>
      </w:pPr>
      <w:r>
        <w:t>6.2 Threshold selection</w:t>
      </w:r>
    </w:p>
    <w:p>
      <w:pPr>
        <w:spacing w:after="140" w:line="307" w:lineRule="auto"/>
      </w:pPr>
      <w:r>
        <w:rPr>
          <w:i w:val="0"/>
        </w:rPr>
        <w:t>Out-of-fold probabilities from the training set are used to choose the decision threshold. The threshold that maximises F1 is 0.32. F1 balances missed churners against wasted retention offers. The threshold, risk bands and test metrics are stored in the model artifact so the API cannot drift from the evaluation.</w:t>
      </w:r>
    </w:p>
    <w:p>
      <w:pPr>
        <w:pStyle w:val="Heading2"/>
        <w:keepNext/>
        <w:spacing w:before="180" w:after="100"/>
      </w:pPr>
      <w:r>
        <w:t>6.3 Metrics used</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1872"/>
            <w:shd w:val="clear" w:color="auto" w:fill="0B3B2E"/>
            <w:tcMar>
              <w:top w:w="70" w:type="dxa"/>
              <w:bottom w:w="70" w:type="dxa"/>
              <w:start w:w="90" w:type="dxa"/>
              <w:end w:w="90" w:type="dxa"/>
            </w:tcMar>
          </w:tcPr>
          <w:p>
            <w:pPr>
              <w:spacing w:after="0"/>
            </w:pPr>
            <w:r>
              <w:rPr>
                <w:rFonts w:ascii="Calibri" w:hAnsi="Calibri"/>
                <w:b/>
                <w:color w:val="FFFFFF"/>
                <w:sz w:val="16"/>
              </w:rPr>
              <w:t>Metric</w:t>
            </w:r>
          </w:p>
        </w:tc>
        <w:tc>
          <w:tcPr>
            <w:tcW w:type="dxa" w:w="4608"/>
            <w:shd w:val="clear" w:color="auto" w:fill="0B3B2E"/>
            <w:tcMar>
              <w:top w:w="70" w:type="dxa"/>
              <w:bottom w:w="70" w:type="dxa"/>
              <w:start w:w="90" w:type="dxa"/>
              <w:end w:w="90" w:type="dxa"/>
            </w:tcMar>
          </w:tcPr>
          <w:p>
            <w:pPr>
              <w:spacing w:after="0"/>
            </w:pPr>
            <w:r>
              <w:rPr>
                <w:rFonts w:ascii="Calibri" w:hAnsi="Calibri"/>
                <w:b/>
                <w:color w:val="FFFFFF"/>
                <w:sz w:val="16"/>
              </w:rPr>
              <w:t>Definition</w:t>
            </w:r>
          </w:p>
        </w:tc>
        <w:tc>
          <w:tcPr>
            <w:tcW w:type="dxa" w:w="3312"/>
            <w:shd w:val="clear" w:color="auto" w:fill="0B3B2E"/>
            <w:tcMar>
              <w:top w:w="70" w:type="dxa"/>
              <w:bottom w:w="70" w:type="dxa"/>
              <w:start w:w="90" w:type="dxa"/>
              <w:end w:w="90" w:type="dxa"/>
            </w:tcMar>
          </w:tcPr>
          <w:p>
            <w:pPr>
              <w:spacing w:after="0"/>
            </w:pPr>
            <w:r>
              <w:rPr>
                <w:rFonts w:ascii="Calibri" w:hAnsi="Calibri"/>
                <w:b/>
                <w:color w:val="FFFFFF"/>
                <w:sz w:val="16"/>
              </w:rPr>
              <w:t>Why it matters here</w:t>
            </w:r>
          </w:p>
        </w:tc>
      </w:tr>
      <w:tr>
        <w:tc>
          <w:tcPr>
            <w:tcW w:type="dxa" w:w="1872"/>
            <w:tcMar>
              <w:top w:w="70" w:type="dxa"/>
              <w:bottom w:w="70" w:type="dxa"/>
              <w:start w:w="90" w:type="dxa"/>
              <w:end w:w="90" w:type="dxa"/>
            </w:tcMar>
          </w:tcPr>
          <w:p>
            <w:pPr>
              <w:spacing w:after="0" w:line="252" w:lineRule="auto"/>
            </w:pPr>
            <w:r>
              <w:rPr>
                <w:rFonts w:ascii="Calibri" w:hAnsi="Calibri"/>
                <w:color w:val="0B1F1A"/>
                <w:sz w:val="16"/>
              </w:rPr>
              <w:t>ROC-AUC</w:t>
            </w:r>
          </w:p>
        </w:tc>
        <w:tc>
          <w:tcPr>
            <w:tcW w:type="dxa" w:w="4608"/>
            <w:tcMar>
              <w:top w:w="70" w:type="dxa"/>
              <w:bottom w:w="70" w:type="dxa"/>
              <w:start w:w="90" w:type="dxa"/>
              <w:end w:w="90" w:type="dxa"/>
            </w:tcMar>
          </w:tcPr>
          <w:p>
            <w:pPr>
              <w:spacing w:after="0" w:line="252" w:lineRule="auto"/>
            </w:pPr>
            <w:r>
              <w:rPr>
                <w:rFonts w:ascii="Calibri" w:hAnsi="Calibri"/>
                <w:color w:val="0B1F1A"/>
                <w:sz w:val="16"/>
              </w:rPr>
              <w:t>Probability that a random churner is ranked above a random stayer</w:t>
            </w:r>
          </w:p>
        </w:tc>
        <w:tc>
          <w:tcPr>
            <w:tcW w:type="dxa" w:w="3312"/>
            <w:tcMar>
              <w:top w:w="70" w:type="dxa"/>
              <w:bottom w:w="70" w:type="dxa"/>
              <w:start w:w="90" w:type="dxa"/>
              <w:end w:w="90" w:type="dxa"/>
            </w:tcMar>
          </w:tcPr>
          <w:p>
            <w:pPr>
              <w:spacing w:after="0" w:line="252" w:lineRule="auto"/>
            </w:pPr>
            <w:r>
              <w:rPr>
                <w:rFonts w:ascii="Calibri" w:hAnsi="Calibri"/>
                <w:color w:val="0B1F1A"/>
                <w:sz w:val="16"/>
              </w:rPr>
              <w:t>Primary model-selection metric; threshold-free</w:t>
            </w:r>
          </w:p>
        </w:tc>
      </w:tr>
      <w:tr>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PR-AUC</w:t>
            </w:r>
          </w:p>
        </w:tc>
        <w:tc>
          <w:tcPr>
            <w:tcW w:type="dxa" w:w="4608"/>
            <w:tcMar>
              <w:top w:w="70" w:type="dxa"/>
              <w:bottom w:w="70" w:type="dxa"/>
              <w:start w:w="90" w:type="dxa"/>
              <w:end w:w="90" w:type="dxa"/>
            </w:tcMar>
            <w:shd w:val="clear" w:color="auto" w:fill="F5FAF8"/>
          </w:tcPr>
          <w:p>
            <w:pPr>
              <w:spacing w:after="0" w:line="252" w:lineRule="auto"/>
            </w:pPr>
            <w:r>
              <w:rPr>
                <w:rFonts w:ascii="Calibri" w:hAnsi="Calibri"/>
                <w:color w:val="0B1F1A"/>
                <w:sz w:val="16"/>
              </w:rPr>
              <w:t>Area under precision–recall curve</w:t>
            </w:r>
          </w:p>
        </w:tc>
        <w:tc>
          <w:tcPr>
            <w:tcW w:type="dxa" w:w="3312"/>
            <w:tcMar>
              <w:top w:w="70" w:type="dxa"/>
              <w:bottom w:w="70" w:type="dxa"/>
              <w:start w:w="90" w:type="dxa"/>
              <w:end w:w="90" w:type="dxa"/>
            </w:tcMar>
            <w:shd w:val="clear" w:color="auto" w:fill="F5FAF8"/>
          </w:tcPr>
          <w:p>
            <w:pPr>
              <w:spacing w:after="0" w:line="252" w:lineRule="auto"/>
            </w:pPr>
            <w:r>
              <w:rPr>
                <w:rFonts w:ascii="Calibri" w:hAnsi="Calibri"/>
                <w:color w:val="0B1F1A"/>
                <w:sz w:val="16"/>
              </w:rPr>
              <w:t>Sensitive to the minority churn class</w:t>
            </w:r>
          </w:p>
        </w:tc>
      </w:tr>
      <w:tr>
        <w:tc>
          <w:tcPr>
            <w:tcW w:type="dxa" w:w="1872"/>
            <w:tcMar>
              <w:top w:w="70" w:type="dxa"/>
              <w:bottom w:w="70" w:type="dxa"/>
              <w:start w:w="90" w:type="dxa"/>
              <w:end w:w="90" w:type="dxa"/>
            </w:tcMar>
          </w:tcPr>
          <w:p>
            <w:pPr>
              <w:spacing w:after="0" w:line="252" w:lineRule="auto"/>
            </w:pPr>
            <w:r>
              <w:rPr>
                <w:rFonts w:ascii="Calibri" w:hAnsi="Calibri"/>
                <w:color w:val="0B1F1A"/>
                <w:sz w:val="16"/>
              </w:rPr>
              <w:t>Precision</w:t>
            </w:r>
          </w:p>
        </w:tc>
        <w:tc>
          <w:tcPr>
            <w:tcW w:type="dxa" w:w="4608"/>
            <w:tcMar>
              <w:top w:w="70" w:type="dxa"/>
              <w:bottom w:w="70" w:type="dxa"/>
              <w:start w:w="90" w:type="dxa"/>
              <w:end w:w="90" w:type="dxa"/>
            </w:tcMar>
          </w:tcPr>
          <w:p>
            <w:pPr>
              <w:spacing w:after="0" w:line="252" w:lineRule="auto"/>
            </w:pPr>
            <w:r>
              <w:rPr>
                <w:rFonts w:ascii="Calibri" w:hAnsi="Calibri"/>
                <w:color w:val="0B1F1A"/>
                <w:sz w:val="16"/>
              </w:rPr>
              <w:t>Of predicted churners, how many actually churned</w:t>
            </w:r>
          </w:p>
        </w:tc>
        <w:tc>
          <w:tcPr>
            <w:tcW w:type="dxa" w:w="3312"/>
            <w:tcMar>
              <w:top w:w="70" w:type="dxa"/>
              <w:bottom w:w="70" w:type="dxa"/>
              <w:start w:w="90" w:type="dxa"/>
              <w:end w:w="90" w:type="dxa"/>
            </w:tcMar>
          </w:tcPr>
          <w:p>
            <w:pPr>
              <w:spacing w:after="0" w:line="252" w:lineRule="auto"/>
            </w:pPr>
            <w:r>
              <w:rPr>
                <w:rFonts w:ascii="Calibri" w:hAnsi="Calibri"/>
                <w:color w:val="0B1F1A"/>
                <w:sz w:val="16"/>
              </w:rPr>
              <w:t>Cost of a wasted retention offer</w:t>
            </w:r>
          </w:p>
        </w:tc>
      </w:tr>
      <w:tr>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Recall</w:t>
            </w:r>
          </w:p>
        </w:tc>
        <w:tc>
          <w:tcPr>
            <w:tcW w:type="dxa" w:w="4608"/>
            <w:tcMar>
              <w:top w:w="70" w:type="dxa"/>
              <w:bottom w:w="70" w:type="dxa"/>
              <w:start w:w="90" w:type="dxa"/>
              <w:end w:w="90" w:type="dxa"/>
            </w:tcMar>
            <w:shd w:val="clear" w:color="auto" w:fill="F5FAF8"/>
          </w:tcPr>
          <w:p>
            <w:pPr>
              <w:spacing w:after="0" w:line="252" w:lineRule="auto"/>
            </w:pPr>
            <w:r>
              <w:rPr>
                <w:rFonts w:ascii="Calibri" w:hAnsi="Calibri"/>
                <w:color w:val="0B1F1A"/>
                <w:sz w:val="16"/>
              </w:rPr>
              <w:t>Of actual churners, how many were caught</w:t>
            </w:r>
          </w:p>
        </w:tc>
        <w:tc>
          <w:tcPr>
            <w:tcW w:type="dxa" w:w="3312"/>
            <w:tcMar>
              <w:top w:w="70" w:type="dxa"/>
              <w:bottom w:w="70" w:type="dxa"/>
              <w:start w:w="90" w:type="dxa"/>
              <w:end w:w="90" w:type="dxa"/>
            </w:tcMar>
            <w:shd w:val="clear" w:color="auto" w:fill="F5FAF8"/>
          </w:tcPr>
          <w:p>
            <w:pPr>
              <w:spacing w:after="0" w:line="252" w:lineRule="auto"/>
            </w:pPr>
            <w:r>
              <w:rPr>
                <w:rFonts w:ascii="Calibri" w:hAnsi="Calibri"/>
                <w:color w:val="0B1F1A"/>
                <w:sz w:val="16"/>
              </w:rPr>
              <w:t>Cost of missing a churner</w:t>
            </w:r>
          </w:p>
        </w:tc>
      </w:tr>
      <w:tr>
        <w:tc>
          <w:tcPr>
            <w:tcW w:type="dxa" w:w="1872"/>
            <w:tcMar>
              <w:top w:w="70" w:type="dxa"/>
              <w:bottom w:w="70" w:type="dxa"/>
              <w:start w:w="90" w:type="dxa"/>
              <w:end w:w="90" w:type="dxa"/>
            </w:tcMar>
          </w:tcPr>
          <w:p>
            <w:pPr>
              <w:spacing w:after="0" w:line="252" w:lineRule="auto"/>
            </w:pPr>
            <w:r>
              <w:rPr>
                <w:rFonts w:ascii="Calibri" w:hAnsi="Calibri"/>
                <w:color w:val="0B1F1A"/>
                <w:sz w:val="16"/>
              </w:rPr>
              <w:t>F1</w:t>
            </w:r>
          </w:p>
        </w:tc>
        <w:tc>
          <w:tcPr>
            <w:tcW w:type="dxa" w:w="4608"/>
            <w:tcMar>
              <w:top w:w="70" w:type="dxa"/>
              <w:bottom w:w="70" w:type="dxa"/>
              <w:start w:w="90" w:type="dxa"/>
              <w:end w:w="90" w:type="dxa"/>
            </w:tcMar>
          </w:tcPr>
          <w:p>
            <w:pPr>
              <w:spacing w:after="0" w:line="252" w:lineRule="auto"/>
            </w:pPr>
            <w:r>
              <w:rPr>
                <w:rFonts w:ascii="Calibri" w:hAnsi="Calibri"/>
                <w:color w:val="0B1F1A"/>
                <w:sz w:val="16"/>
              </w:rPr>
              <w:t>Harmonic mean of precision and recall</w:t>
            </w:r>
          </w:p>
        </w:tc>
        <w:tc>
          <w:tcPr>
            <w:tcW w:type="dxa" w:w="3312"/>
            <w:tcMar>
              <w:top w:w="70" w:type="dxa"/>
              <w:bottom w:w="70" w:type="dxa"/>
              <w:start w:w="90" w:type="dxa"/>
              <w:end w:w="90" w:type="dxa"/>
            </w:tcMar>
          </w:tcPr>
          <w:p>
            <w:pPr>
              <w:spacing w:after="0" w:line="252" w:lineRule="auto"/>
            </w:pPr>
            <w:r>
              <w:rPr>
                <w:rFonts w:ascii="Calibri" w:hAnsi="Calibri"/>
                <w:color w:val="0B1F1A"/>
                <w:sz w:val="16"/>
              </w:rPr>
              <w:t>Balanced operating-point view</w:t>
            </w:r>
          </w:p>
        </w:tc>
      </w:tr>
      <w:tr>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Brier score</w:t>
            </w:r>
          </w:p>
        </w:tc>
        <w:tc>
          <w:tcPr>
            <w:tcW w:type="dxa" w:w="4608"/>
            <w:tcMar>
              <w:top w:w="70" w:type="dxa"/>
              <w:bottom w:w="70" w:type="dxa"/>
              <w:start w:w="90" w:type="dxa"/>
              <w:end w:w="90" w:type="dxa"/>
            </w:tcMar>
            <w:shd w:val="clear" w:color="auto" w:fill="F5FAF8"/>
          </w:tcPr>
          <w:p>
            <w:pPr>
              <w:spacing w:after="0" w:line="252" w:lineRule="auto"/>
            </w:pPr>
            <w:r>
              <w:rPr>
                <w:rFonts w:ascii="Calibri" w:hAnsi="Calibri"/>
                <w:color w:val="0B1F1A"/>
                <w:sz w:val="16"/>
              </w:rPr>
              <w:t>Mean squared error of probabilities</w:t>
            </w:r>
          </w:p>
        </w:tc>
        <w:tc>
          <w:tcPr>
            <w:tcW w:type="dxa" w:w="3312"/>
            <w:tcMar>
              <w:top w:w="70" w:type="dxa"/>
              <w:bottom w:w="70" w:type="dxa"/>
              <w:start w:w="90" w:type="dxa"/>
              <w:end w:w="90" w:type="dxa"/>
            </w:tcMar>
            <w:shd w:val="clear" w:color="auto" w:fill="F5FAF8"/>
          </w:tcPr>
          <w:p>
            <w:pPr>
              <w:spacing w:after="0" w:line="252" w:lineRule="auto"/>
            </w:pPr>
            <w:r>
              <w:rPr>
                <w:rFonts w:ascii="Calibri" w:hAnsi="Calibri"/>
                <w:color w:val="0B1F1A"/>
                <w:sz w:val="16"/>
              </w:rPr>
              <w:t>Probability calibration</w:t>
            </w:r>
          </w:p>
        </w:tc>
      </w:tr>
    </w:tbl>
    <w:p>
      <w:pPr>
        <w:spacing w:after="40"/>
      </w:pPr>
    </w:p>
    <w:p>
      <w:r>
        <w:br w:type="page"/>
      </w:r>
    </w:p>
    <w:p>
      <w:pPr>
        <w:pStyle w:val="Heading1"/>
        <w:keepNext/>
        <w:spacing w:before="240" w:after="100"/>
      </w:pPr>
      <w:r>
        <w:t>7. Results and model selection</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1606"/>
        <w:gridCol w:w="1606"/>
        <w:gridCol w:w="1606"/>
        <w:gridCol w:w="1606"/>
        <w:gridCol w:w="1606"/>
        <w:gridCol w:w="1606"/>
      </w:tblGrid>
      <w:tr>
        <w:trPr>
          <w:tblHeader w:val="true"/>
        </w:trPr>
        <w:tc>
          <w:tcPr>
            <w:tcW w:type="dxa" w:w="2664"/>
            <w:shd w:val="clear" w:color="auto" w:fill="0B3B2E"/>
            <w:tcMar>
              <w:top w:w="70" w:type="dxa"/>
              <w:bottom w:w="70" w:type="dxa"/>
              <w:start w:w="90" w:type="dxa"/>
              <w:end w:w="90" w:type="dxa"/>
            </w:tcMar>
          </w:tcPr>
          <w:p>
            <w:pPr>
              <w:spacing w:after="0"/>
            </w:pPr>
            <w:r>
              <w:rPr>
                <w:rFonts w:ascii="Calibri" w:hAnsi="Calibri"/>
                <w:b/>
                <w:color w:val="FFFFFF"/>
                <w:sz w:val="16"/>
              </w:rPr>
              <w:t>Model</w:t>
            </w:r>
          </w:p>
        </w:tc>
        <w:tc>
          <w:tcPr>
            <w:tcW w:type="dxa" w:w="1440"/>
            <w:shd w:val="clear" w:color="auto" w:fill="0B3B2E"/>
            <w:tcMar>
              <w:top w:w="70" w:type="dxa"/>
              <w:bottom w:w="70" w:type="dxa"/>
              <w:start w:w="90" w:type="dxa"/>
              <w:end w:w="90" w:type="dxa"/>
            </w:tcMar>
          </w:tcPr>
          <w:p>
            <w:pPr>
              <w:spacing w:after="0"/>
            </w:pPr>
            <w:r>
              <w:rPr>
                <w:rFonts w:ascii="Calibri" w:hAnsi="Calibri"/>
                <w:b/>
                <w:color w:val="FFFFFF"/>
                <w:sz w:val="16"/>
              </w:rPr>
              <w:t>CV ROC-AUC</w:t>
            </w:r>
          </w:p>
        </w:tc>
        <w:tc>
          <w:tcPr>
            <w:tcW w:type="dxa" w:w="1008"/>
            <w:shd w:val="clear" w:color="auto" w:fill="0B3B2E"/>
            <w:tcMar>
              <w:top w:w="70" w:type="dxa"/>
              <w:bottom w:w="70" w:type="dxa"/>
              <w:start w:w="90" w:type="dxa"/>
              <w:end w:w="90" w:type="dxa"/>
            </w:tcMar>
          </w:tcPr>
          <w:p>
            <w:pPr>
              <w:spacing w:after="0"/>
            </w:pPr>
            <w:r>
              <w:rPr>
                <w:rFonts w:ascii="Calibri" w:hAnsi="Calibri"/>
                <w:b/>
                <w:color w:val="FFFFFF"/>
                <w:sz w:val="16"/>
              </w:rPr>
              <w:t>CV σ</w:t>
            </w:r>
          </w:p>
        </w:tc>
        <w:tc>
          <w:tcPr>
            <w:tcW w:type="dxa" w:w="1584"/>
            <w:shd w:val="clear" w:color="auto" w:fill="0B3B2E"/>
            <w:tcMar>
              <w:top w:w="70" w:type="dxa"/>
              <w:bottom w:w="70" w:type="dxa"/>
              <w:start w:w="90" w:type="dxa"/>
              <w:end w:w="90" w:type="dxa"/>
            </w:tcMar>
          </w:tcPr>
          <w:p>
            <w:pPr>
              <w:spacing w:after="0"/>
            </w:pPr>
            <w:r>
              <w:rPr>
                <w:rFonts w:ascii="Calibri" w:hAnsi="Calibri"/>
                <w:b/>
                <w:color w:val="FFFFFF"/>
                <w:sz w:val="16"/>
              </w:rPr>
              <w:t>Test ROC-AUC</w:t>
            </w:r>
          </w:p>
        </w:tc>
        <w:tc>
          <w:tcPr>
            <w:tcW w:type="dxa" w:w="1512"/>
            <w:shd w:val="clear" w:color="auto" w:fill="0B3B2E"/>
            <w:tcMar>
              <w:top w:w="70" w:type="dxa"/>
              <w:bottom w:w="70" w:type="dxa"/>
              <w:start w:w="90" w:type="dxa"/>
              <w:end w:w="90" w:type="dxa"/>
            </w:tcMar>
          </w:tcPr>
          <w:p>
            <w:pPr>
              <w:spacing w:after="0"/>
            </w:pPr>
            <w:r>
              <w:rPr>
                <w:rFonts w:ascii="Calibri" w:hAnsi="Calibri"/>
                <w:b/>
                <w:color w:val="FFFFFF"/>
                <w:sz w:val="16"/>
              </w:rPr>
              <w:t>Test F1 @0.5</w:t>
            </w:r>
          </w:p>
        </w:tc>
        <w:tc>
          <w:tcPr>
            <w:tcW w:type="dxa" w:w="1440"/>
            <w:shd w:val="clear" w:color="auto" w:fill="0B3B2E"/>
            <w:tcMar>
              <w:top w:w="70" w:type="dxa"/>
              <w:bottom w:w="70" w:type="dxa"/>
              <w:start w:w="90" w:type="dxa"/>
              <w:end w:w="90" w:type="dxa"/>
            </w:tcMar>
          </w:tcPr>
          <w:p>
            <w:pPr>
              <w:spacing w:after="0"/>
            </w:pPr>
            <w:r>
              <w:rPr>
                <w:rFonts w:ascii="Calibri" w:hAnsi="Calibri"/>
                <w:b/>
                <w:color w:val="FFFFFF"/>
                <w:sz w:val="16"/>
              </w:rPr>
              <w:t>Test PR-AUC</w:t>
            </w:r>
          </w:p>
        </w:tc>
      </w:tr>
      <w:tr>
        <w:tc>
          <w:tcPr>
            <w:tcW w:type="dxa" w:w="2664"/>
            <w:tcMar>
              <w:top w:w="70" w:type="dxa"/>
              <w:bottom w:w="70" w:type="dxa"/>
              <w:start w:w="90" w:type="dxa"/>
              <w:end w:w="90" w:type="dxa"/>
            </w:tcMar>
          </w:tcPr>
          <w:p>
            <w:pPr>
              <w:spacing w:after="0" w:line="252" w:lineRule="auto"/>
            </w:pPr>
            <w:r>
              <w:rPr>
                <w:rFonts w:ascii="Calibri" w:hAnsi="Calibri"/>
                <w:color w:val="0B1F1A"/>
                <w:sz w:val="16"/>
              </w:rPr>
              <w:t>★ LogisticRegression</w:t>
            </w:r>
          </w:p>
        </w:tc>
        <w:tc>
          <w:tcPr>
            <w:tcW w:type="dxa" w:w="1440"/>
            <w:tcMar>
              <w:top w:w="70" w:type="dxa"/>
              <w:bottom w:w="70" w:type="dxa"/>
              <w:start w:w="90" w:type="dxa"/>
              <w:end w:w="90" w:type="dxa"/>
            </w:tcMar>
          </w:tcPr>
          <w:p>
            <w:pPr>
              <w:spacing w:after="0" w:line="252" w:lineRule="auto"/>
            </w:pPr>
            <w:r>
              <w:rPr>
                <w:rFonts w:ascii="Calibri" w:hAnsi="Calibri"/>
                <w:color w:val="0B1F1A"/>
                <w:sz w:val="16"/>
              </w:rPr>
              <w:t>0.8475</w:t>
            </w:r>
          </w:p>
        </w:tc>
        <w:tc>
          <w:tcPr>
            <w:tcW w:type="dxa" w:w="1008"/>
            <w:tcMar>
              <w:top w:w="70" w:type="dxa"/>
              <w:bottom w:w="70" w:type="dxa"/>
              <w:start w:w="90" w:type="dxa"/>
              <w:end w:w="90" w:type="dxa"/>
            </w:tcMar>
          </w:tcPr>
          <w:p>
            <w:pPr>
              <w:spacing w:after="0" w:line="252" w:lineRule="auto"/>
            </w:pPr>
            <w:r>
              <w:rPr>
                <w:rFonts w:ascii="Calibri" w:hAnsi="Calibri"/>
                <w:color w:val="0B1F1A"/>
                <w:sz w:val="16"/>
              </w:rPr>
              <w:t>0.0118</w:t>
            </w:r>
          </w:p>
        </w:tc>
        <w:tc>
          <w:tcPr>
            <w:tcW w:type="dxa" w:w="1584"/>
            <w:tcMar>
              <w:top w:w="70" w:type="dxa"/>
              <w:bottom w:w="70" w:type="dxa"/>
              <w:start w:w="90" w:type="dxa"/>
              <w:end w:w="90" w:type="dxa"/>
            </w:tcMar>
          </w:tcPr>
          <w:p>
            <w:pPr>
              <w:spacing w:after="0" w:line="252" w:lineRule="auto"/>
            </w:pPr>
            <w:r>
              <w:rPr>
                <w:rFonts w:ascii="Calibri" w:hAnsi="Calibri"/>
                <w:color w:val="0B1F1A"/>
                <w:sz w:val="16"/>
              </w:rPr>
              <w:t>0.8456</w:t>
            </w:r>
          </w:p>
        </w:tc>
        <w:tc>
          <w:tcPr>
            <w:tcW w:type="dxa" w:w="1512"/>
            <w:tcMar>
              <w:top w:w="70" w:type="dxa"/>
              <w:bottom w:w="70" w:type="dxa"/>
              <w:start w:w="90" w:type="dxa"/>
              <w:end w:w="90" w:type="dxa"/>
            </w:tcMar>
          </w:tcPr>
          <w:p>
            <w:pPr>
              <w:spacing w:after="0" w:line="252" w:lineRule="auto"/>
            </w:pPr>
            <w:r>
              <w:rPr>
                <w:rFonts w:ascii="Calibri" w:hAnsi="Calibri"/>
                <w:color w:val="0B1F1A"/>
                <w:sz w:val="16"/>
              </w:rPr>
              <w:t>0.5854</w:t>
            </w:r>
          </w:p>
        </w:tc>
        <w:tc>
          <w:tcPr>
            <w:tcW w:type="dxa" w:w="1440"/>
            <w:tcMar>
              <w:top w:w="70" w:type="dxa"/>
              <w:bottom w:w="70" w:type="dxa"/>
              <w:start w:w="90" w:type="dxa"/>
              <w:end w:w="90" w:type="dxa"/>
            </w:tcMar>
          </w:tcPr>
          <w:p>
            <w:pPr>
              <w:spacing w:after="0" w:line="252" w:lineRule="auto"/>
            </w:pPr>
            <w:r>
              <w:rPr>
                <w:rFonts w:ascii="Calibri" w:hAnsi="Calibri"/>
                <w:color w:val="0B1F1A"/>
                <w:sz w:val="16"/>
              </w:rPr>
              <w:t>0.6519</w:t>
            </w:r>
          </w:p>
        </w:tc>
      </w:tr>
      <w:tr>
        <w:tc>
          <w:tcPr>
            <w:tcW w:type="dxa" w:w="2664"/>
            <w:tcMar>
              <w:top w:w="70" w:type="dxa"/>
              <w:bottom w:w="70" w:type="dxa"/>
              <w:start w:w="90" w:type="dxa"/>
              <w:end w:w="90" w:type="dxa"/>
            </w:tcMar>
            <w:shd w:val="clear" w:color="auto" w:fill="F5FAF8"/>
          </w:tcPr>
          <w:p>
            <w:pPr>
              <w:spacing w:after="0" w:line="252" w:lineRule="auto"/>
            </w:pPr>
            <w:r>
              <w:rPr>
                <w:rFonts w:ascii="Calibri" w:hAnsi="Calibri"/>
                <w:color w:val="0B1F1A"/>
                <w:sz w:val="16"/>
              </w:rPr>
              <w:t>XGBoost</w:t>
            </w:r>
          </w:p>
        </w:tc>
        <w:tc>
          <w:tcPr>
            <w:tcW w:type="dxa" w:w="1440"/>
            <w:tcMar>
              <w:top w:w="70" w:type="dxa"/>
              <w:bottom w:w="70" w:type="dxa"/>
              <w:start w:w="90" w:type="dxa"/>
              <w:end w:w="90" w:type="dxa"/>
            </w:tcMar>
            <w:shd w:val="clear" w:color="auto" w:fill="F5FAF8"/>
          </w:tcPr>
          <w:p>
            <w:pPr>
              <w:spacing w:after="0" w:line="252" w:lineRule="auto"/>
            </w:pPr>
            <w:r>
              <w:rPr>
                <w:rFonts w:ascii="Calibri" w:hAnsi="Calibri"/>
                <w:color w:val="0B1F1A"/>
                <w:sz w:val="16"/>
              </w:rPr>
              <w:t>0.8409</w:t>
            </w:r>
          </w:p>
        </w:tc>
        <w:tc>
          <w:tcPr>
            <w:tcW w:type="dxa" w:w="1008"/>
            <w:tcMar>
              <w:top w:w="70" w:type="dxa"/>
              <w:bottom w:w="70" w:type="dxa"/>
              <w:start w:w="90" w:type="dxa"/>
              <w:end w:w="90" w:type="dxa"/>
            </w:tcMar>
            <w:shd w:val="clear" w:color="auto" w:fill="F5FAF8"/>
          </w:tcPr>
          <w:p>
            <w:pPr>
              <w:spacing w:after="0" w:line="252" w:lineRule="auto"/>
            </w:pPr>
            <w:r>
              <w:rPr>
                <w:rFonts w:ascii="Calibri" w:hAnsi="Calibri"/>
                <w:color w:val="0B1F1A"/>
                <w:sz w:val="16"/>
              </w:rPr>
              <w:t>0.0102</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0.8397</w:t>
            </w:r>
          </w:p>
        </w:tc>
        <w:tc>
          <w:tcPr>
            <w:tcW w:type="dxa" w:w="1512"/>
            <w:tcMar>
              <w:top w:w="70" w:type="dxa"/>
              <w:bottom w:w="70" w:type="dxa"/>
              <w:start w:w="90" w:type="dxa"/>
              <w:end w:w="90" w:type="dxa"/>
            </w:tcMar>
            <w:shd w:val="clear" w:color="auto" w:fill="F5FAF8"/>
          </w:tcPr>
          <w:p>
            <w:pPr>
              <w:spacing w:after="0" w:line="252" w:lineRule="auto"/>
            </w:pPr>
            <w:r>
              <w:rPr>
                <w:rFonts w:ascii="Calibri" w:hAnsi="Calibri"/>
                <w:color w:val="0B1F1A"/>
                <w:sz w:val="16"/>
              </w:rPr>
              <w:t>0.5929</w:t>
            </w:r>
          </w:p>
        </w:tc>
        <w:tc>
          <w:tcPr>
            <w:tcW w:type="dxa" w:w="1440"/>
            <w:tcMar>
              <w:top w:w="70" w:type="dxa"/>
              <w:bottom w:w="70" w:type="dxa"/>
              <w:start w:w="90" w:type="dxa"/>
              <w:end w:w="90" w:type="dxa"/>
            </w:tcMar>
            <w:shd w:val="clear" w:color="auto" w:fill="F5FAF8"/>
          </w:tcPr>
          <w:p>
            <w:pPr>
              <w:spacing w:after="0" w:line="252" w:lineRule="auto"/>
            </w:pPr>
            <w:r>
              <w:rPr>
                <w:rFonts w:ascii="Calibri" w:hAnsi="Calibri"/>
                <w:color w:val="0B1F1A"/>
                <w:sz w:val="16"/>
              </w:rPr>
              <w:t>0.6557</w:t>
            </w:r>
          </w:p>
        </w:tc>
      </w:tr>
      <w:tr>
        <w:tc>
          <w:tcPr>
            <w:tcW w:type="dxa" w:w="2664"/>
            <w:tcMar>
              <w:top w:w="70" w:type="dxa"/>
              <w:bottom w:w="70" w:type="dxa"/>
              <w:start w:w="90" w:type="dxa"/>
              <w:end w:w="90" w:type="dxa"/>
            </w:tcMar>
          </w:tcPr>
          <w:p>
            <w:pPr>
              <w:spacing w:after="0" w:line="252" w:lineRule="auto"/>
            </w:pPr>
            <w:r>
              <w:rPr>
                <w:rFonts w:ascii="Calibri" w:hAnsi="Calibri"/>
                <w:color w:val="0B1F1A"/>
                <w:sz w:val="16"/>
              </w:rPr>
              <w:t>RandomForest</w:t>
            </w:r>
          </w:p>
        </w:tc>
        <w:tc>
          <w:tcPr>
            <w:tcW w:type="dxa" w:w="1440"/>
            <w:tcMar>
              <w:top w:w="70" w:type="dxa"/>
              <w:bottom w:w="70" w:type="dxa"/>
              <w:start w:w="90" w:type="dxa"/>
              <w:end w:w="90" w:type="dxa"/>
            </w:tcMar>
          </w:tcPr>
          <w:p>
            <w:pPr>
              <w:spacing w:after="0" w:line="252" w:lineRule="auto"/>
            </w:pPr>
            <w:r>
              <w:rPr>
                <w:rFonts w:ascii="Calibri" w:hAnsi="Calibri"/>
                <w:color w:val="0B1F1A"/>
                <w:sz w:val="16"/>
              </w:rPr>
              <w:t>0.8359</w:t>
            </w:r>
          </w:p>
        </w:tc>
        <w:tc>
          <w:tcPr>
            <w:tcW w:type="dxa" w:w="1008"/>
            <w:tcMar>
              <w:top w:w="70" w:type="dxa"/>
              <w:bottom w:w="70" w:type="dxa"/>
              <w:start w:w="90" w:type="dxa"/>
              <w:end w:w="90" w:type="dxa"/>
            </w:tcMar>
          </w:tcPr>
          <w:p>
            <w:pPr>
              <w:spacing w:after="0" w:line="252" w:lineRule="auto"/>
            </w:pPr>
            <w:r>
              <w:rPr>
                <w:rFonts w:ascii="Calibri" w:hAnsi="Calibri"/>
                <w:color w:val="0B1F1A"/>
                <w:sz w:val="16"/>
              </w:rPr>
              <w:t>0.0106</w:t>
            </w:r>
          </w:p>
        </w:tc>
        <w:tc>
          <w:tcPr>
            <w:tcW w:type="dxa" w:w="1584"/>
            <w:tcMar>
              <w:top w:w="70" w:type="dxa"/>
              <w:bottom w:w="70" w:type="dxa"/>
              <w:start w:w="90" w:type="dxa"/>
              <w:end w:w="90" w:type="dxa"/>
            </w:tcMar>
          </w:tcPr>
          <w:p>
            <w:pPr>
              <w:spacing w:after="0" w:line="252" w:lineRule="auto"/>
            </w:pPr>
            <w:r>
              <w:rPr>
                <w:rFonts w:ascii="Calibri" w:hAnsi="Calibri"/>
                <w:color w:val="0B1F1A"/>
                <w:sz w:val="16"/>
              </w:rPr>
              <w:t>0.8337</w:t>
            </w:r>
          </w:p>
        </w:tc>
        <w:tc>
          <w:tcPr>
            <w:tcW w:type="dxa" w:w="1512"/>
            <w:tcMar>
              <w:top w:w="70" w:type="dxa"/>
              <w:bottom w:w="70" w:type="dxa"/>
              <w:start w:w="90" w:type="dxa"/>
              <w:end w:w="90" w:type="dxa"/>
            </w:tcMar>
          </w:tcPr>
          <w:p>
            <w:pPr>
              <w:spacing w:after="0" w:line="252" w:lineRule="auto"/>
            </w:pPr>
            <w:r>
              <w:rPr>
                <w:rFonts w:ascii="Calibri" w:hAnsi="Calibri"/>
                <w:color w:val="0B1F1A"/>
                <w:sz w:val="16"/>
              </w:rPr>
              <w:t>0.5676</w:t>
            </w:r>
          </w:p>
        </w:tc>
        <w:tc>
          <w:tcPr>
            <w:tcW w:type="dxa" w:w="1440"/>
            <w:tcMar>
              <w:top w:w="70" w:type="dxa"/>
              <w:bottom w:w="70" w:type="dxa"/>
              <w:start w:w="90" w:type="dxa"/>
              <w:end w:w="90" w:type="dxa"/>
            </w:tcMar>
          </w:tcPr>
          <w:p>
            <w:pPr>
              <w:spacing w:after="0" w:line="252" w:lineRule="auto"/>
            </w:pPr>
            <w:r>
              <w:rPr>
                <w:rFonts w:ascii="Calibri" w:hAnsi="Calibri"/>
                <w:color w:val="0B1F1A"/>
                <w:sz w:val="16"/>
              </w:rPr>
              <w:t>0.6396</w:t>
            </w:r>
          </w:p>
        </w:tc>
      </w:tr>
      <w:tr>
        <w:tc>
          <w:tcPr>
            <w:tcW w:type="dxa" w:w="2664"/>
            <w:tcMar>
              <w:top w:w="70" w:type="dxa"/>
              <w:bottom w:w="70" w:type="dxa"/>
              <w:start w:w="90" w:type="dxa"/>
              <w:end w:w="90" w:type="dxa"/>
            </w:tcMar>
            <w:shd w:val="clear" w:color="auto" w:fill="F5FAF8"/>
          </w:tcPr>
          <w:p>
            <w:pPr>
              <w:spacing w:after="0" w:line="252" w:lineRule="auto"/>
            </w:pPr>
            <w:r>
              <w:rPr>
                <w:rFonts w:ascii="Calibri" w:hAnsi="Calibri"/>
                <w:color w:val="0B1F1A"/>
                <w:sz w:val="16"/>
              </w:rPr>
              <w:t>DecisionTree</w:t>
            </w:r>
          </w:p>
        </w:tc>
        <w:tc>
          <w:tcPr>
            <w:tcW w:type="dxa" w:w="1440"/>
            <w:tcMar>
              <w:top w:w="70" w:type="dxa"/>
              <w:bottom w:w="70" w:type="dxa"/>
              <w:start w:w="90" w:type="dxa"/>
              <w:end w:w="90" w:type="dxa"/>
            </w:tcMar>
            <w:shd w:val="clear" w:color="auto" w:fill="F5FAF8"/>
          </w:tcPr>
          <w:p>
            <w:pPr>
              <w:spacing w:after="0" w:line="252" w:lineRule="auto"/>
            </w:pPr>
            <w:r>
              <w:rPr>
                <w:rFonts w:ascii="Calibri" w:hAnsi="Calibri"/>
                <w:color w:val="0B1F1A"/>
                <w:sz w:val="16"/>
              </w:rPr>
              <w:t>0.8265</w:t>
            </w:r>
          </w:p>
        </w:tc>
        <w:tc>
          <w:tcPr>
            <w:tcW w:type="dxa" w:w="1008"/>
            <w:tcMar>
              <w:top w:w="70" w:type="dxa"/>
              <w:bottom w:w="70" w:type="dxa"/>
              <w:start w:w="90" w:type="dxa"/>
              <w:end w:w="90" w:type="dxa"/>
            </w:tcMar>
            <w:shd w:val="clear" w:color="auto" w:fill="F5FAF8"/>
          </w:tcPr>
          <w:p>
            <w:pPr>
              <w:spacing w:after="0" w:line="252" w:lineRule="auto"/>
            </w:pPr>
            <w:r>
              <w:rPr>
                <w:rFonts w:ascii="Calibri" w:hAnsi="Calibri"/>
                <w:color w:val="0B1F1A"/>
                <w:sz w:val="16"/>
              </w:rPr>
              <w:t>0.0101</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0.8335</w:t>
            </w:r>
          </w:p>
        </w:tc>
        <w:tc>
          <w:tcPr>
            <w:tcW w:type="dxa" w:w="1512"/>
            <w:tcMar>
              <w:top w:w="70" w:type="dxa"/>
              <w:bottom w:w="70" w:type="dxa"/>
              <w:start w:w="90" w:type="dxa"/>
              <w:end w:w="90" w:type="dxa"/>
            </w:tcMar>
            <w:shd w:val="clear" w:color="auto" w:fill="F5FAF8"/>
          </w:tcPr>
          <w:p>
            <w:pPr>
              <w:spacing w:after="0" w:line="252" w:lineRule="auto"/>
            </w:pPr>
            <w:r>
              <w:rPr>
                <w:rFonts w:ascii="Calibri" w:hAnsi="Calibri"/>
                <w:color w:val="0B1F1A"/>
                <w:sz w:val="16"/>
              </w:rPr>
              <w:t>0.5607</w:t>
            </w:r>
          </w:p>
        </w:tc>
        <w:tc>
          <w:tcPr>
            <w:tcW w:type="dxa" w:w="1440"/>
            <w:tcMar>
              <w:top w:w="70" w:type="dxa"/>
              <w:bottom w:w="70" w:type="dxa"/>
              <w:start w:w="90" w:type="dxa"/>
              <w:end w:w="90" w:type="dxa"/>
            </w:tcMar>
            <w:shd w:val="clear" w:color="auto" w:fill="F5FAF8"/>
          </w:tcPr>
          <w:p>
            <w:pPr>
              <w:spacing w:after="0" w:line="252" w:lineRule="auto"/>
            </w:pPr>
            <w:r>
              <w:rPr>
                <w:rFonts w:ascii="Calibri" w:hAnsi="Calibri"/>
                <w:color w:val="0B1F1A"/>
                <w:sz w:val="16"/>
              </w:rPr>
              <w:t>0.6270</w:t>
            </w:r>
          </w:p>
        </w:tc>
      </w:tr>
      <w:tr>
        <w:tc>
          <w:tcPr>
            <w:tcW w:type="dxa" w:w="2664"/>
            <w:tcMar>
              <w:top w:w="70" w:type="dxa"/>
              <w:bottom w:w="70" w:type="dxa"/>
              <w:start w:w="90" w:type="dxa"/>
              <w:end w:w="90" w:type="dxa"/>
            </w:tcMar>
          </w:tcPr>
          <w:p>
            <w:pPr>
              <w:spacing w:after="0" w:line="252" w:lineRule="auto"/>
            </w:pPr>
            <w:r>
              <w:rPr>
                <w:rFonts w:ascii="Calibri" w:hAnsi="Calibri"/>
                <w:color w:val="0B1F1A"/>
                <w:sz w:val="16"/>
              </w:rPr>
              <w:t>KNN</w:t>
            </w:r>
          </w:p>
        </w:tc>
        <w:tc>
          <w:tcPr>
            <w:tcW w:type="dxa" w:w="1440"/>
            <w:tcMar>
              <w:top w:w="70" w:type="dxa"/>
              <w:bottom w:w="70" w:type="dxa"/>
              <w:start w:w="90" w:type="dxa"/>
              <w:end w:w="90" w:type="dxa"/>
            </w:tcMar>
          </w:tcPr>
          <w:p>
            <w:pPr>
              <w:spacing w:after="0" w:line="252" w:lineRule="auto"/>
            </w:pPr>
            <w:r>
              <w:rPr>
                <w:rFonts w:ascii="Calibri" w:hAnsi="Calibri"/>
                <w:color w:val="0B1F1A"/>
                <w:sz w:val="16"/>
              </w:rPr>
              <w:t>0.8117</w:t>
            </w:r>
          </w:p>
        </w:tc>
        <w:tc>
          <w:tcPr>
            <w:tcW w:type="dxa" w:w="1008"/>
            <w:tcMar>
              <w:top w:w="70" w:type="dxa"/>
              <w:bottom w:w="70" w:type="dxa"/>
              <w:start w:w="90" w:type="dxa"/>
              <w:end w:w="90" w:type="dxa"/>
            </w:tcMar>
          </w:tcPr>
          <w:p>
            <w:pPr>
              <w:spacing w:after="0" w:line="252" w:lineRule="auto"/>
            </w:pPr>
            <w:r>
              <w:rPr>
                <w:rFonts w:ascii="Calibri" w:hAnsi="Calibri"/>
                <w:color w:val="0B1F1A"/>
                <w:sz w:val="16"/>
              </w:rPr>
              <w:t>0.0138</w:t>
            </w:r>
          </w:p>
        </w:tc>
        <w:tc>
          <w:tcPr>
            <w:tcW w:type="dxa" w:w="1584"/>
            <w:tcMar>
              <w:top w:w="70" w:type="dxa"/>
              <w:bottom w:w="70" w:type="dxa"/>
              <w:start w:w="90" w:type="dxa"/>
              <w:end w:w="90" w:type="dxa"/>
            </w:tcMar>
          </w:tcPr>
          <w:p>
            <w:pPr>
              <w:spacing w:after="0" w:line="252" w:lineRule="auto"/>
            </w:pPr>
            <w:r>
              <w:rPr>
                <w:rFonts w:ascii="Calibri" w:hAnsi="Calibri"/>
                <w:color w:val="0B1F1A"/>
                <w:sz w:val="16"/>
              </w:rPr>
              <w:t>0.8058</w:t>
            </w:r>
          </w:p>
        </w:tc>
        <w:tc>
          <w:tcPr>
            <w:tcW w:type="dxa" w:w="1512"/>
            <w:tcMar>
              <w:top w:w="70" w:type="dxa"/>
              <w:bottom w:w="70" w:type="dxa"/>
              <w:start w:w="90" w:type="dxa"/>
              <w:end w:w="90" w:type="dxa"/>
            </w:tcMar>
          </w:tcPr>
          <w:p>
            <w:pPr>
              <w:spacing w:after="0" w:line="252" w:lineRule="auto"/>
            </w:pPr>
            <w:r>
              <w:rPr>
                <w:rFonts w:ascii="Calibri" w:hAnsi="Calibri"/>
                <w:color w:val="0B1F1A"/>
                <w:sz w:val="16"/>
              </w:rPr>
              <w:t>0.5722</w:t>
            </w:r>
          </w:p>
        </w:tc>
        <w:tc>
          <w:tcPr>
            <w:tcW w:type="dxa" w:w="1440"/>
            <w:tcMar>
              <w:top w:w="70" w:type="dxa"/>
              <w:bottom w:w="70" w:type="dxa"/>
              <w:start w:w="90" w:type="dxa"/>
              <w:end w:w="90" w:type="dxa"/>
            </w:tcMar>
          </w:tcPr>
          <w:p>
            <w:pPr>
              <w:spacing w:after="0" w:line="252" w:lineRule="auto"/>
            </w:pPr>
            <w:r>
              <w:rPr>
                <w:rFonts w:ascii="Calibri" w:hAnsi="Calibri"/>
                <w:color w:val="0B1F1A"/>
                <w:sz w:val="16"/>
              </w:rPr>
              <w:t>0.5857</w:t>
            </w:r>
          </w:p>
        </w:tc>
      </w:tr>
      <w:tr>
        <w:tc>
          <w:tcPr>
            <w:tcW w:type="dxa" w:w="2664"/>
            <w:tcMar>
              <w:top w:w="70" w:type="dxa"/>
              <w:bottom w:w="70" w:type="dxa"/>
              <w:start w:w="90" w:type="dxa"/>
              <w:end w:w="90" w:type="dxa"/>
            </w:tcMar>
            <w:shd w:val="clear" w:color="auto" w:fill="F5FAF8"/>
          </w:tcPr>
          <w:p>
            <w:pPr>
              <w:spacing w:after="0" w:line="252" w:lineRule="auto"/>
            </w:pPr>
            <w:r>
              <w:rPr>
                <w:rFonts w:ascii="Calibri" w:hAnsi="Calibri"/>
                <w:color w:val="0B1F1A"/>
                <w:sz w:val="16"/>
              </w:rPr>
              <w:t>SVM</w:t>
            </w:r>
          </w:p>
        </w:tc>
        <w:tc>
          <w:tcPr>
            <w:tcW w:type="dxa" w:w="1440"/>
            <w:tcMar>
              <w:top w:w="70" w:type="dxa"/>
              <w:bottom w:w="70" w:type="dxa"/>
              <w:start w:w="90" w:type="dxa"/>
              <w:end w:w="90" w:type="dxa"/>
            </w:tcMar>
            <w:shd w:val="clear" w:color="auto" w:fill="F5FAF8"/>
          </w:tcPr>
          <w:p>
            <w:pPr>
              <w:spacing w:after="0" w:line="252" w:lineRule="auto"/>
            </w:pPr>
            <w:r>
              <w:rPr>
                <w:rFonts w:ascii="Calibri" w:hAnsi="Calibri"/>
                <w:color w:val="0B1F1A"/>
                <w:sz w:val="16"/>
              </w:rPr>
              <w:t>0.7984</w:t>
            </w:r>
          </w:p>
        </w:tc>
        <w:tc>
          <w:tcPr>
            <w:tcW w:type="dxa" w:w="1008"/>
            <w:tcMar>
              <w:top w:w="70" w:type="dxa"/>
              <w:bottom w:w="70" w:type="dxa"/>
              <w:start w:w="90" w:type="dxa"/>
              <w:end w:w="90" w:type="dxa"/>
            </w:tcMar>
            <w:shd w:val="clear" w:color="auto" w:fill="F5FAF8"/>
          </w:tcPr>
          <w:p>
            <w:pPr>
              <w:spacing w:after="0" w:line="252" w:lineRule="auto"/>
            </w:pPr>
            <w:r>
              <w:rPr>
                <w:rFonts w:ascii="Calibri" w:hAnsi="Calibri"/>
                <w:color w:val="0B1F1A"/>
                <w:sz w:val="16"/>
              </w:rPr>
              <w:t>0.0168</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0.7946</w:t>
            </w:r>
          </w:p>
        </w:tc>
        <w:tc>
          <w:tcPr>
            <w:tcW w:type="dxa" w:w="1512"/>
            <w:tcMar>
              <w:top w:w="70" w:type="dxa"/>
              <w:bottom w:w="70" w:type="dxa"/>
              <w:start w:w="90" w:type="dxa"/>
              <w:end w:w="90" w:type="dxa"/>
            </w:tcMar>
            <w:shd w:val="clear" w:color="auto" w:fill="F5FAF8"/>
          </w:tcPr>
          <w:p>
            <w:pPr>
              <w:spacing w:after="0" w:line="252" w:lineRule="auto"/>
            </w:pPr>
            <w:r>
              <w:rPr>
                <w:rFonts w:ascii="Calibri" w:hAnsi="Calibri"/>
                <w:color w:val="0B1F1A"/>
                <w:sz w:val="16"/>
              </w:rPr>
              <w:t>0.5292</w:t>
            </w:r>
          </w:p>
        </w:tc>
        <w:tc>
          <w:tcPr>
            <w:tcW w:type="dxa" w:w="1440"/>
            <w:tcMar>
              <w:top w:w="70" w:type="dxa"/>
              <w:bottom w:w="70" w:type="dxa"/>
              <w:start w:w="90" w:type="dxa"/>
              <w:end w:w="90" w:type="dxa"/>
            </w:tcMar>
            <w:shd w:val="clear" w:color="auto" w:fill="F5FAF8"/>
          </w:tcPr>
          <w:p>
            <w:pPr>
              <w:spacing w:after="0" w:line="252" w:lineRule="auto"/>
            </w:pPr>
            <w:r>
              <w:rPr>
                <w:rFonts w:ascii="Calibri" w:hAnsi="Calibri"/>
                <w:color w:val="0B1F1A"/>
                <w:sz w:val="16"/>
              </w:rPr>
              <w:t>0.6219</w:t>
            </w:r>
          </w:p>
        </w:tc>
      </w:tr>
    </w:tbl>
    <w:p>
      <w:pPr>
        <w:spacing w:after="40"/>
      </w:pPr>
    </w:p>
    <w:p>
      <w:pPr>
        <w:spacing w:after="140" w:line="307" w:lineRule="auto"/>
      </w:pPr>
      <w:r>
        <w:rPr>
          <w:i w:val="0"/>
        </w:rPr>
        <w:t>Logistic Regression is selected because it has the highest mean 5-fold CV ROC-AUC. XGBoost is close behind, but its additional nonlinearity does not justify the extra complexity on this dataset, and the linear model is easier to explain. The selected model is not changed after looking at test results.</w:t>
      </w:r>
    </w:p>
    <w:p>
      <w:pPr>
        <w:pStyle w:val="Heading2"/>
        <w:keepNext/>
        <w:spacing w:before="180" w:after="100"/>
      </w:pPr>
      <w:r>
        <w:t>7.1 Final held-out performance</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4819"/>
        <w:gridCol w:w="4819"/>
      </w:tblGrid>
      <w:tr>
        <w:trPr>
          <w:tblHeader w:val="true"/>
        </w:trPr>
        <w:tc>
          <w:tcPr>
            <w:tcW w:type="dxa" w:w="3168"/>
            <w:shd w:val="clear" w:color="auto" w:fill="0B3B2E"/>
            <w:tcMar>
              <w:top w:w="70" w:type="dxa"/>
              <w:bottom w:w="70" w:type="dxa"/>
              <w:start w:w="90" w:type="dxa"/>
              <w:end w:w="90" w:type="dxa"/>
            </w:tcMar>
          </w:tcPr>
          <w:p>
            <w:pPr>
              <w:spacing w:after="0"/>
            </w:pPr>
            <w:r>
              <w:rPr>
                <w:rFonts w:ascii="Calibri" w:hAnsi="Calibri"/>
                <w:b/>
                <w:color w:val="FFFFFF"/>
                <w:sz w:val="16"/>
              </w:rPr>
              <w:t>Metric</w:t>
            </w:r>
          </w:p>
        </w:tc>
        <w:tc>
          <w:tcPr>
            <w:tcW w:type="dxa" w:w="6192"/>
            <w:shd w:val="clear" w:color="auto" w:fill="0B3B2E"/>
            <w:tcMar>
              <w:top w:w="70" w:type="dxa"/>
              <w:bottom w:w="70" w:type="dxa"/>
              <w:start w:w="90" w:type="dxa"/>
              <w:end w:w="90" w:type="dxa"/>
            </w:tcMar>
          </w:tcPr>
          <w:p>
            <w:pPr>
              <w:spacing w:after="0"/>
            </w:pPr>
            <w:r>
              <w:rPr>
                <w:rFonts w:ascii="Calibri" w:hAnsi="Calibri"/>
                <w:b/>
                <w:color w:val="FFFFFF"/>
                <w:sz w:val="16"/>
              </w:rPr>
              <w:t>Value</w:t>
            </w:r>
          </w:p>
        </w:tc>
      </w:tr>
      <w:tr>
        <w:tc>
          <w:tcPr>
            <w:tcW w:type="dxa" w:w="3168"/>
            <w:tcMar>
              <w:top w:w="70" w:type="dxa"/>
              <w:bottom w:w="70" w:type="dxa"/>
              <w:start w:w="90" w:type="dxa"/>
              <w:end w:w="90" w:type="dxa"/>
            </w:tcMar>
          </w:tcPr>
          <w:p>
            <w:pPr>
              <w:spacing w:after="0" w:line="252" w:lineRule="auto"/>
            </w:pPr>
            <w:r>
              <w:rPr>
                <w:rFonts w:ascii="Calibri" w:hAnsi="Calibri"/>
                <w:color w:val="0B1F1A"/>
                <w:sz w:val="16"/>
              </w:rPr>
              <w:t>Decision threshold</w:t>
            </w:r>
          </w:p>
        </w:tc>
        <w:tc>
          <w:tcPr>
            <w:tcW w:type="dxa" w:w="6192"/>
            <w:tcMar>
              <w:top w:w="70" w:type="dxa"/>
              <w:bottom w:w="70" w:type="dxa"/>
              <w:start w:w="90" w:type="dxa"/>
              <w:end w:w="90" w:type="dxa"/>
            </w:tcMar>
          </w:tcPr>
          <w:p>
            <w:pPr>
              <w:spacing w:after="0" w:line="252" w:lineRule="auto"/>
            </w:pPr>
            <w:r>
              <w:rPr>
                <w:rFonts w:ascii="Calibri" w:hAnsi="Calibri"/>
                <w:color w:val="0B1F1A"/>
                <w:sz w:val="16"/>
              </w:rPr>
              <w:t>0.32 (F1-maximising on out-of-fold predictions)</w:t>
            </w:r>
          </w:p>
        </w:tc>
      </w:tr>
      <w:tr>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ROC-AUC</w:t>
            </w:r>
          </w:p>
        </w:tc>
        <w:tc>
          <w:tcPr>
            <w:tcW w:type="dxa" w:w="6192"/>
            <w:tcMar>
              <w:top w:w="70" w:type="dxa"/>
              <w:bottom w:w="70" w:type="dxa"/>
              <w:start w:w="90" w:type="dxa"/>
              <w:end w:w="90" w:type="dxa"/>
            </w:tcMar>
            <w:shd w:val="clear" w:color="auto" w:fill="F5FAF8"/>
          </w:tcPr>
          <w:p>
            <w:pPr>
              <w:spacing w:after="0" w:line="252" w:lineRule="auto"/>
            </w:pPr>
            <w:r>
              <w:rPr>
                <w:rFonts w:ascii="Calibri" w:hAnsi="Calibri"/>
                <w:color w:val="0B1F1A"/>
                <w:sz w:val="16"/>
              </w:rPr>
              <w:t>0.8456</w:t>
            </w:r>
          </w:p>
        </w:tc>
      </w:tr>
      <w:tr>
        <w:tc>
          <w:tcPr>
            <w:tcW w:type="dxa" w:w="3168"/>
            <w:tcMar>
              <w:top w:w="70" w:type="dxa"/>
              <w:bottom w:w="70" w:type="dxa"/>
              <w:start w:w="90" w:type="dxa"/>
              <w:end w:w="90" w:type="dxa"/>
            </w:tcMar>
          </w:tcPr>
          <w:p>
            <w:pPr>
              <w:spacing w:after="0" w:line="252" w:lineRule="auto"/>
            </w:pPr>
            <w:r>
              <w:rPr>
                <w:rFonts w:ascii="Calibri" w:hAnsi="Calibri"/>
                <w:color w:val="0B1F1A"/>
                <w:sz w:val="16"/>
              </w:rPr>
              <w:t>PR-AUC</w:t>
            </w:r>
          </w:p>
        </w:tc>
        <w:tc>
          <w:tcPr>
            <w:tcW w:type="dxa" w:w="6192"/>
            <w:tcMar>
              <w:top w:w="70" w:type="dxa"/>
              <w:bottom w:w="70" w:type="dxa"/>
              <w:start w:w="90" w:type="dxa"/>
              <w:end w:w="90" w:type="dxa"/>
            </w:tcMar>
          </w:tcPr>
          <w:p>
            <w:pPr>
              <w:spacing w:after="0" w:line="252" w:lineRule="auto"/>
            </w:pPr>
            <w:r>
              <w:rPr>
                <w:rFonts w:ascii="Calibri" w:hAnsi="Calibri"/>
                <w:color w:val="0B1F1A"/>
                <w:sz w:val="16"/>
              </w:rPr>
              <w:t>0.6519</w:t>
            </w:r>
          </w:p>
        </w:tc>
      </w:tr>
      <w:tr>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Recall</w:t>
            </w:r>
          </w:p>
        </w:tc>
        <w:tc>
          <w:tcPr>
            <w:tcW w:type="dxa" w:w="6192"/>
            <w:tcMar>
              <w:top w:w="70" w:type="dxa"/>
              <w:bottom w:w="70" w:type="dxa"/>
              <w:start w:w="90" w:type="dxa"/>
              <w:end w:w="90" w:type="dxa"/>
            </w:tcMar>
            <w:shd w:val="clear" w:color="auto" w:fill="F5FAF8"/>
          </w:tcPr>
          <w:p>
            <w:pPr>
              <w:spacing w:after="0" w:line="252" w:lineRule="auto"/>
            </w:pPr>
            <w:r>
              <w:rPr>
                <w:rFonts w:ascii="Calibri" w:hAnsi="Calibri"/>
                <w:color w:val="0B1F1A"/>
                <w:sz w:val="16"/>
              </w:rPr>
              <w:t>0.7406</w:t>
            </w:r>
          </w:p>
        </w:tc>
      </w:tr>
      <w:tr>
        <w:tc>
          <w:tcPr>
            <w:tcW w:type="dxa" w:w="3168"/>
            <w:tcMar>
              <w:top w:w="70" w:type="dxa"/>
              <w:bottom w:w="70" w:type="dxa"/>
              <w:start w:w="90" w:type="dxa"/>
              <w:end w:w="90" w:type="dxa"/>
            </w:tcMar>
          </w:tcPr>
          <w:p>
            <w:pPr>
              <w:spacing w:after="0" w:line="252" w:lineRule="auto"/>
            </w:pPr>
            <w:r>
              <w:rPr>
                <w:rFonts w:ascii="Calibri" w:hAnsi="Calibri"/>
                <w:color w:val="0B1F1A"/>
                <w:sz w:val="16"/>
              </w:rPr>
              <w:t>Precision</w:t>
            </w:r>
          </w:p>
        </w:tc>
        <w:tc>
          <w:tcPr>
            <w:tcW w:type="dxa" w:w="6192"/>
            <w:tcMar>
              <w:top w:w="70" w:type="dxa"/>
              <w:bottom w:w="70" w:type="dxa"/>
              <w:start w:w="90" w:type="dxa"/>
              <w:end w:w="90" w:type="dxa"/>
            </w:tcMar>
          </w:tcPr>
          <w:p>
            <w:pPr>
              <w:spacing w:after="0" w:line="252" w:lineRule="auto"/>
            </w:pPr>
            <w:r>
              <w:rPr>
                <w:rFonts w:ascii="Calibri" w:hAnsi="Calibri"/>
                <w:color w:val="0B1F1A"/>
                <w:sz w:val="16"/>
              </w:rPr>
              <w:t>0.5410</w:t>
            </w:r>
          </w:p>
        </w:tc>
      </w:tr>
      <w:tr>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F1</w:t>
            </w:r>
          </w:p>
        </w:tc>
        <w:tc>
          <w:tcPr>
            <w:tcW w:type="dxa" w:w="6192"/>
            <w:tcMar>
              <w:top w:w="70" w:type="dxa"/>
              <w:bottom w:w="70" w:type="dxa"/>
              <w:start w:w="90" w:type="dxa"/>
              <w:end w:w="90" w:type="dxa"/>
            </w:tcMar>
            <w:shd w:val="clear" w:color="auto" w:fill="F5FAF8"/>
          </w:tcPr>
          <w:p>
            <w:pPr>
              <w:spacing w:after="0" w:line="252" w:lineRule="auto"/>
            </w:pPr>
            <w:r>
              <w:rPr>
                <w:rFonts w:ascii="Calibri" w:hAnsi="Calibri"/>
                <w:color w:val="0B1F1A"/>
                <w:sz w:val="16"/>
              </w:rPr>
              <w:t>0.6253</w:t>
            </w:r>
          </w:p>
        </w:tc>
      </w:tr>
      <w:tr>
        <w:tc>
          <w:tcPr>
            <w:tcW w:type="dxa" w:w="3168"/>
            <w:tcMar>
              <w:top w:w="70" w:type="dxa"/>
              <w:bottom w:w="70" w:type="dxa"/>
              <w:start w:w="90" w:type="dxa"/>
              <w:end w:w="90" w:type="dxa"/>
            </w:tcMar>
          </w:tcPr>
          <w:p>
            <w:pPr>
              <w:spacing w:after="0" w:line="252" w:lineRule="auto"/>
            </w:pPr>
            <w:r>
              <w:rPr>
                <w:rFonts w:ascii="Calibri" w:hAnsi="Calibri"/>
                <w:color w:val="0B1F1A"/>
                <w:sz w:val="16"/>
              </w:rPr>
              <w:t>Accuracy</w:t>
            </w:r>
          </w:p>
        </w:tc>
        <w:tc>
          <w:tcPr>
            <w:tcW w:type="dxa" w:w="6192"/>
            <w:tcMar>
              <w:top w:w="70" w:type="dxa"/>
              <w:bottom w:w="70" w:type="dxa"/>
              <w:start w:w="90" w:type="dxa"/>
              <w:end w:w="90" w:type="dxa"/>
            </w:tcMar>
          </w:tcPr>
          <w:p>
            <w:pPr>
              <w:spacing w:after="0" w:line="252" w:lineRule="auto"/>
            </w:pPr>
            <w:r>
              <w:rPr>
                <w:rFonts w:ascii="Calibri" w:hAnsi="Calibri"/>
                <w:color w:val="0B1F1A"/>
                <w:sz w:val="16"/>
              </w:rPr>
              <w:t>0.7644</w:t>
            </w:r>
          </w:p>
        </w:tc>
      </w:tr>
      <w:tr>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Brier score</w:t>
            </w:r>
          </w:p>
        </w:tc>
        <w:tc>
          <w:tcPr>
            <w:tcW w:type="dxa" w:w="6192"/>
            <w:tcMar>
              <w:top w:w="70" w:type="dxa"/>
              <w:bottom w:w="70" w:type="dxa"/>
              <w:start w:w="90" w:type="dxa"/>
              <w:end w:w="90" w:type="dxa"/>
            </w:tcMar>
            <w:shd w:val="clear" w:color="auto" w:fill="F5FAF8"/>
          </w:tcPr>
          <w:p>
            <w:pPr>
              <w:spacing w:after="0" w:line="252" w:lineRule="auto"/>
            </w:pPr>
            <w:r>
              <w:rPr>
                <w:rFonts w:ascii="Calibri" w:hAnsi="Calibri"/>
                <w:color w:val="0B1F1A"/>
                <w:sz w:val="16"/>
              </w:rPr>
              <w:t>0.1362</w:t>
            </w:r>
          </w:p>
        </w:tc>
      </w:tr>
      <w:tr>
        <w:tc>
          <w:tcPr>
            <w:tcW w:type="dxa" w:w="3168"/>
            <w:tcMar>
              <w:top w:w="70" w:type="dxa"/>
              <w:bottom w:w="70" w:type="dxa"/>
              <w:start w:w="90" w:type="dxa"/>
              <w:end w:w="90" w:type="dxa"/>
            </w:tcMar>
          </w:tcPr>
          <w:p>
            <w:pPr>
              <w:spacing w:after="0" w:line="252" w:lineRule="auto"/>
            </w:pPr>
            <w:r>
              <w:rPr>
                <w:rFonts w:ascii="Calibri" w:hAnsi="Calibri"/>
                <w:color w:val="0B1F1A"/>
                <w:sz w:val="16"/>
              </w:rPr>
              <w:t>Log loss</w:t>
            </w:r>
          </w:p>
        </w:tc>
        <w:tc>
          <w:tcPr>
            <w:tcW w:type="dxa" w:w="6192"/>
            <w:tcMar>
              <w:top w:w="70" w:type="dxa"/>
              <w:bottom w:w="70" w:type="dxa"/>
              <w:start w:w="90" w:type="dxa"/>
              <w:end w:w="90" w:type="dxa"/>
            </w:tcMar>
          </w:tcPr>
          <w:p>
            <w:pPr>
              <w:spacing w:after="0" w:line="252" w:lineRule="auto"/>
            </w:pPr>
            <w:r>
              <w:rPr>
                <w:rFonts w:ascii="Calibri" w:hAnsi="Calibri"/>
                <w:color w:val="0B1F1A"/>
                <w:sz w:val="16"/>
              </w:rPr>
              <w:t>0.4156</w:t>
            </w:r>
          </w:p>
        </w:tc>
      </w:tr>
    </w:tbl>
    <w:p>
      <w:pPr>
        <w:spacing w:after="40"/>
      </w:pPr>
    </w:p>
    <w:p>
      <w:pPr>
        <w:pStyle w:val="Heading2"/>
        <w:keepNext/>
        <w:spacing w:before="180" w:after="100"/>
      </w:pPr>
      <w:r>
        <w:t>7.2 Confusion matrix</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3168"/>
            <w:shd w:val="clear" w:color="auto" w:fill="0B3B2E"/>
            <w:tcMar>
              <w:top w:w="70" w:type="dxa"/>
              <w:bottom w:w="70" w:type="dxa"/>
              <w:start w:w="90" w:type="dxa"/>
              <w:end w:w="90" w:type="dxa"/>
            </w:tcMar>
          </w:tcPr>
          <w:p>
            <w:pPr>
              <w:spacing w:after="0"/>
            </w:pPr>
            <w:r>
              <w:rPr>
                <w:rFonts w:ascii="Calibri" w:hAnsi="Calibri"/>
                <w:b/>
                <w:color w:val="FFFFFF"/>
                <w:sz w:val="16"/>
              </w:rPr>
            </w:r>
          </w:p>
        </w:tc>
        <w:tc>
          <w:tcPr>
            <w:tcW w:type="dxa" w:w="3024"/>
            <w:shd w:val="clear" w:color="auto" w:fill="0B3B2E"/>
            <w:tcMar>
              <w:top w:w="70" w:type="dxa"/>
              <w:bottom w:w="70" w:type="dxa"/>
              <w:start w:w="90" w:type="dxa"/>
              <w:end w:w="90" w:type="dxa"/>
            </w:tcMar>
          </w:tcPr>
          <w:p>
            <w:pPr>
              <w:spacing w:after="0"/>
            </w:pPr>
            <w:r>
              <w:rPr>
                <w:rFonts w:ascii="Calibri" w:hAnsi="Calibri"/>
                <w:b/>
                <w:color w:val="FFFFFF"/>
                <w:sz w:val="16"/>
              </w:rPr>
              <w:t>Predicted stay</w:t>
            </w:r>
          </w:p>
        </w:tc>
        <w:tc>
          <w:tcPr>
            <w:tcW w:type="dxa" w:w="3024"/>
            <w:shd w:val="clear" w:color="auto" w:fill="0B3B2E"/>
            <w:tcMar>
              <w:top w:w="70" w:type="dxa"/>
              <w:bottom w:w="70" w:type="dxa"/>
              <w:start w:w="90" w:type="dxa"/>
              <w:end w:w="90" w:type="dxa"/>
            </w:tcMar>
          </w:tcPr>
          <w:p>
            <w:pPr>
              <w:spacing w:after="0"/>
            </w:pPr>
            <w:r>
              <w:rPr>
                <w:rFonts w:ascii="Calibri" w:hAnsi="Calibri"/>
                <w:b/>
                <w:color w:val="FFFFFF"/>
                <w:sz w:val="16"/>
              </w:rPr>
              <w:t>Predicted churn</w:t>
            </w:r>
          </w:p>
        </w:tc>
      </w:tr>
      <w:tr>
        <w:tc>
          <w:tcPr>
            <w:tcW w:type="dxa" w:w="3168"/>
            <w:tcMar>
              <w:top w:w="70" w:type="dxa"/>
              <w:bottom w:w="70" w:type="dxa"/>
              <w:start w:w="90" w:type="dxa"/>
              <w:end w:w="90" w:type="dxa"/>
            </w:tcMar>
          </w:tcPr>
          <w:p>
            <w:pPr>
              <w:spacing w:after="0" w:line="252" w:lineRule="auto"/>
            </w:pPr>
            <w:r>
              <w:rPr>
                <w:rFonts w:ascii="Calibri" w:hAnsi="Calibri"/>
                <w:color w:val="0B1F1A"/>
                <w:sz w:val="16"/>
              </w:rPr>
              <w:t>Actual stay</w:t>
            </w:r>
          </w:p>
        </w:tc>
        <w:tc>
          <w:tcPr>
            <w:tcW w:type="dxa" w:w="3024"/>
            <w:tcMar>
              <w:top w:w="70" w:type="dxa"/>
              <w:bottom w:w="70" w:type="dxa"/>
              <w:start w:w="90" w:type="dxa"/>
              <w:end w:w="90" w:type="dxa"/>
            </w:tcMar>
          </w:tcPr>
          <w:p>
            <w:pPr>
              <w:spacing w:after="0" w:line="252" w:lineRule="auto"/>
            </w:pPr>
            <w:r>
              <w:rPr>
                <w:rFonts w:ascii="Calibri" w:hAnsi="Calibri"/>
                <w:color w:val="0B1F1A"/>
                <w:sz w:val="16"/>
              </w:rPr>
              <w:t>800</w:t>
            </w:r>
          </w:p>
        </w:tc>
        <w:tc>
          <w:tcPr>
            <w:tcW w:type="dxa" w:w="3024"/>
            <w:tcMar>
              <w:top w:w="70" w:type="dxa"/>
              <w:bottom w:w="70" w:type="dxa"/>
              <w:start w:w="90" w:type="dxa"/>
              <w:end w:w="90" w:type="dxa"/>
            </w:tcMar>
          </w:tcPr>
          <w:p>
            <w:pPr>
              <w:spacing w:after="0" w:line="252" w:lineRule="auto"/>
            </w:pPr>
            <w:r>
              <w:rPr>
                <w:rFonts w:ascii="Calibri" w:hAnsi="Calibri"/>
                <w:color w:val="0B1F1A"/>
                <w:sz w:val="16"/>
              </w:rPr>
              <w:t>235</w:t>
            </w:r>
          </w:p>
        </w:tc>
      </w:tr>
      <w:tr>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Actual churn</w:t>
            </w:r>
          </w:p>
        </w:tc>
        <w:tc>
          <w:tcPr>
            <w:tcW w:type="dxa" w:w="3024"/>
            <w:tcMar>
              <w:top w:w="70" w:type="dxa"/>
              <w:bottom w:w="70" w:type="dxa"/>
              <w:start w:w="90" w:type="dxa"/>
              <w:end w:w="90" w:type="dxa"/>
            </w:tcMar>
            <w:shd w:val="clear" w:color="auto" w:fill="F5FAF8"/>
          </w:tcPr>
          <w:p>
            <w:pPr>
              <w:spacing w:after="0" w:line="252" w:lineRule="auto"/>
            </w:pPr>
            <w:r>
              <w:rPr>
                <w:rFonts w:ascii="Calibri" w:hAnsi="Calibri"/>
                <w:color w:val="0B1F1A"/>
                <w:sz w:val="16"/>
              </w:rPr>
              <w:t>97</w:t>
            </w:r>
          </w:p>
        </w:tc>
        <w:tc>
          <w:tcPr>
            <w:tcW w:type="dxa" w:w="3024"/>
            <w:tcMar>
              <w:top w:w="70" w:type="dxa"/>
              <w:bottom w:w="70" w:type="dxa"/>
              <w:start w:w="90" w:type="dxa"/>
              <w:end w:w="90" w:type="dxa"/>
            </w:tcMar>
            <w:shd w:val="clear" w:color="auto" w:fill="F5FAF8"/>
          </w:tcPr>
          <w:p>
            <w:pPr>
              <w:spacing w:after="0" w:line="252" w:lineRule="auto"/>
            </w:pPr>
            <w:r>
              <w:rPr>
                <w:rFonts w:ascii="Calibri" w:hAnsi="Calibri"/>
                <w:color w:val="0B1F1A"/>
                <w:sz w:val="16"/>
              </w:rPr>
              <w:t>277</w:t>
            </w:r>
          </w:p>
        </w:tc>
      </w:tr>
    </w:tbl>
    <w:p>
      <w:pPr>
        <w:spacing w:after="40"/>
      </w:pPr>
    </w:p>
    <w:p>
      <w:pPr>
        <w:spacing w:after="140" w:line="307" w:lineRule="auto"/>
      </w:pPr>
      <w:r>
        <w:rPr>
          <w:i w:val="0"/>
        </w:rPr>
        <w:t>At the tuned threshold the model catches 277 of 374 churners while accepting 235 false positives. The high recall is intentional: a missed churner is usually more expensive than a wasted retention call. The trade-off can be changed by adjusting the threshold.</w:t>
      </w:r>
    </w:p>
    <w:p>
      <w:pPr>
        <w:pStyle w:val="Heading2"/>
        <w:keepNext/>
        <w:spacing w:before="180" w:after="100"/>
      </w:pPr>
      <w:r>
        <w:t>7.3 Why not accuracy?</w:t>
      </w:r>
    </w:p>
    <w:p>
      <w:pPr>
        <w:spacing w:after="140" w:line="307" w:lineRule="auto"/>
      </w:pPr>
      <w:r>
        <w:rPr>
          <w:i w:val="0"/>
        </w:rPr>
        <w:t>A naive model that predicts 'stay' for every customer would be about 73% accurate while catching zero churners. Accuracy alone is therefore misleading on this imbalanced dataset. ROC-AUC, PR-AUC, recall, F1 and the confusion matrix are used together.</w:t>
      </w:r>
    </w:p>
    <w:p>
      <w:r>
        <w:br w:type="page"/>
      </w:r>
    </w:p>
    <w:p>
      <w:pPr>
        <w:pStyle w:val="Heading1"/>
        <w:keepNext/>
        <w:spacing w:before="240" w:after="100"/>
      </w:pPr>
      <w:r>
        <w:t>8. Explainability</w:t>
      </w:r>
    </w:p>
    <w:p>
      <w:pPr>
        <w:spacing w:after="140" w:line="307" w:lineRule="auto"/>
      </w:pPr>
      <w:r>
        <w:rPr>
          <w:i w:val="0"/>
        </w:rPr>
        <w:t>Explainability is a first-class requirement, not an afterthought. The system exposes global drivers, per-customer drivers and native model importance, and documents the difference between conditional model explanations and causal effects.</w:t>
      </w:r>
    </w:p>
    <w:p>
      <w:pPr>
        <w:pStyle w:val="Heading2"/>
        <w:keepNext/>
        <w:spacing w:before="180" w:after="100"/>
      </w:pPr>
      <w:r>
        <w:t>8.1 Methods</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2304"/>
            <w:shd w:val="clear" w:color="auto" w:fill="0B3B2E"/>
            <w:tcMar>
              <w:top w:w="70" w:type="dxa"/>
              <w:bottom w:w="70" w:type="dxa"/>
              <w:start w:w="90" w:type="dxa"/>
              <w:end w:w="90" w:type="dxa"/>
            </w:tcMar>
          </w:tcPr>
          <w:p>
            <w:pPr>
              <w:spacing w:after="0"/>
            </w:pPr>
            <w:r>
              <w:rPr>
                <w:rFonts w:ascii="Calibri" w:hAnsi="Calibri"/>
                <w:b/>
                <w:color w:val="FFFFFF"/>
                <w:sz w:val="16"/>
              </w:rPr>
              <w:t>Method</w:t>
            </w:r>
          </w:p>
        </w:tc>
        <w:tc>
          <w:tcPr>
            <w:tcW w:type="dxa" w:w="3168"/>
            <w:shd w:val="clear" w:color="auto" w:fill="0B3B2E"/>
            <w:tcMar>
              <w:top w:w="70" w:type="dxa"/>
              <w:bottom w:w="70" w:type="dxa"/>
              <w:start w:w="90" w:type="dxa"/>
              <w:end w:w="90" w:type="dxa"/>
            </w:tcMar>
          </w:tcPr>
          <w:p>
            <w:pPr>
              <w:spacing w:after="0"/>
            </w:pPr>
            <w:r>
              <w:rPr>
                <w:rFonts w:ascii="Calibri" w:hAnsi="Calibri"/>
                <w:b/>
                <w:color w:val="FFFFFF"/>
                <w:sz w:val="16"/>
              </w:rPr>
              <w:t>Scope</w:t>
            </w:r>
          </w:p>
        </w:tc>
        <w:tc>
          <w:tcPr>
            <w:tcW w:type="dxa" w:w="4464"/>
            <w:shd w:val="clear" w:color="auto" w:fill="0B3B2E"/>
            <w:tcMar>
              <w:top w:w="70" w:type="dxa"/>
              <w:bottom w:w="70" w:type="dxa"/>
              <w:start w:w="90" w:type="dxa"/>
              <w:end w:w="90" w:type="dxa"/>
            </w:tcMar>
          </w:tcPr>
          <w:p>
            <w:pPr>
              <w:spacing w:after="0"/>
            </w:pPr>
            <w:r>
              <w:rPr>
                <w:rFonts w:ascii="Calibri" w:hAnsi="Calibri"/>
                <w:b/>
                <w:color w:val="FFFFFF"/>
                <w:sz w:val="16"/>
              </w:rPr>
              <w:t>Notes</w:t>
            </w:r>
          </w:p>
        </w:tc>
      </w:tr>
      <w:tr>
        <w:tc>
          <w:tcPr>
            <w:tcW w:type="dxa" w:w="2304"/>
            <w:tcMar>
              <w:top w:w="70" w:type="dxa"/>
              <w:bottom w:w="70" w:type="dxa"/>
              <w:start w:w="90" w:type="dxa"/>
              <w:end w:w="90" w:type="dxa"/>
            </w:tcMar>
          </w:tcPr>
          <w:p>
            <w:pPr>
              <w:spacing w:after="0" w:line="252" w:lineRule="auto"/>
            </w:pPr>
            <w:r>
              <w:rPr>
                <w:rFonts w:ascii="Calibri" w:hAnsi="Calibri"/>
                <w:color w:val="0B1F1A"/>
                <w:sz w:val="16"/>
              </w:rPr>
              <w:t>LinearSHAP</w:t>
            </w:r>
          </w:p>
        </w:tc>
        <w:tc>
          <w:tcPr>
            <w:tcW w:type="dxa" w:w="3168"/>
            <w:tcMar>
              <w:top w:w="70" w:type="dxa"/>
              <w:bottom w:w="70" w:type="dxa"/>
              <w:start w:w="90" w:type="dxa"/>
              <w:end w:w="90" w:type="dxa"/>
            </w:tcMar>
          </w:tcPr>
          <w:p>
            <w:pPr>
              <w:spacing w:after="0" w:line="252" w:lineRule="auto"/>
            </w:pPr>
            <w:r>
              <w:rPr>
                <w:rFonts w:ascii="Calibri" w:hAnsi="Calibri"/>
                <w:color w:val="0B1F1A"/>
                <w:sz w:val="16"/>
              </w:rPr>
              <w:t>Selected logistic model</w:t>
            </w:r>
          </w:p>
        </w:tc>
        <w:tc>
          <w:tcPr>
            <w:tcW w:type="dxa" w:w="4464"/>
            <w:tcMar>
              <w:top w:w="70" w:type="dxa"/>
              <w:bottom w:w="70" w:type="dxa"/>
              <w:start w:w="90" w:type="dxa"/>
              <w:end w:w="90" w:type="dxa"/>
            </w:tcMar>
          </w:tcPr>
          <w:p>
            <w:pPr>
              <w:spacing w:after="0" w:line="252" w:lineRule="auto"/>
            </w:pPr>
            <w:r>
              <w:rPr>
                <w:rFonts w:ascii="Calibri" w:hAnsi="Calibri"/>
                <w:color w:val="0B1F1A"/>
                <w:sz w:val="16"/>
              </w:rPr>
              <w:t>Exact SHAP values for a linear classifier</w:t>
            </w:r>
          </w:p>
        </w:tc>
      </w:tr>
      <w:tr>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TreeSHAP</w:t>
            </w:r>
          </w:p>
        </w:tc>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Decision Tree, Random Forest, XGBoost</w:t>
            </w:r>
          </w:p>
        </w:tc>
        <w:tc>
          <w:tcPr>
            <w:tcW w:type="dxa" w:w="4464"/>
            <w:tcMar>
              <w:top w:w="70" w:type="dxa"/>
              <w:bottom w:w="70" w:type="dxa"/>
              <w:start w:w="90" w:type="dxa"/>
              <w:end w:w="90" w:type="dxa"/>
            </w:tcMar>
            <w:shd w:val="clear" w:color="auto" w:fill="F5FAF8"/>
          </w:tcPr>
          <w:p>
            <w:pPr>
              <w:spacing w:after="0" w:line="252" w:lineRule="auto"/>
            </w:pPr>
            <w:r>
              <w:rPr>
                <w:rFonts w:ascii="Calibri" w:hAnsi="Calibri"/>
                <w:color w:val="0B1F1A"/>
                <w:sz w:val="16"/>
              </w:rPr>
              <w:t>Exact game-theoretic attribution for trees</w:t>
            </w:r>
          </w:p>
        </w:tc>
      </w:tr>
      <w:tr>
        <w:tc>
          <w:tcPr>
            <w:tcW w:type="dxa" w:w="2304"/>
            <w:tcMar>
              <w:top w:w="70" w:type="dxa"/>
              <w:bottom w:w="70" w:type="dxa"/>
              <w:start w:w="90" w:type="dxa"/>
              <w:end w:w="90" w:type="dxa"/>
            </w:tcMar>
          </w:tcPr>
          <w:p>
            <w:pPr>
              <w:spacing w:after="0" w:line="252" w:lineRule="auto"/>
            </w:pPr>
            <w:r>
              <w:rPr>
                <w:rFonts w:ascii="Calibri" w:hAnsi="Calibri"/>
                <w:color w:val="0B1F1A"/>
                <w:sz w:val="16"/>
              </w:rPr>
              <w:t>Permutation SHAP</w:t>
            </w:r>
          </w:p>
        </w:tc>
        <w:tc>
          <w:tcPr>
            <w:tcW w:type="dxa" w:w="3168"/>
            <w:tcMar>
              <w:top w:w="70" w:type="dxa"/>
              <w:bottom w:w="70" w:type="dxa"/>
              <w:start w:w="90" w:type="dxa"/>
              <w:end w:w="90" w:type="dxa"/>
            </w:tcMar>
          </w:tcPr>
          <w:p>
            <w:pPr>
              <w:spacing w:after="0" w:line="252" w:lineRule="auto"/>
            </w:pPr>
            <w:r>
              <w:rPr>
                <w:rFonts w:ascii="Calibri" w:hAnsi="Calibri"/>
                <w:color w:val="0B1F1A"/>
                <w:sz w:val="16"/>
              </w:rPr>
              <w:t>KNN/SVM fallback</w:t>
            </w:r>
          </w:p>
        </w:tc>
        <w:tc>
          <w:tcPr>
            <w:tcW w:type="dxa" w:w="4464"/>
            <w:tcMar>
              <w:top w:w="70" w:type="dxa"/>
              <w:bottom w:w="70" w:type="dxa"/>
              <w:start w:w="90" w:type="dxa"/>
              <w:end w:w="90" w:type="dxa"/>
            </w:tcMar>
          </w:tcPr>
          <w:p>
            <w:pPr>
              <w:spacing w:after="0" w:line="252" w:lineRule="auto"/>
            </w:pPr>
            <w:r>
              <w:rPr>
                <w:rFonts w:ascii="Calibri" w:hAnsi="Calibri"/>
                <w:color w:val="0B1F1A"/>
                <w:sz w:val="16"/>
              </w:rPr>
              <w:t>Model-agnostic approximation; sampled for speed</w:t>
            </w:r>
          </w:p>
        </w:tc>
      </w:tr>
      <w:tr>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Coefficients</w:t>
            </w:r>
          </w:p>
        </w:tc>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Logistic Regression</w:t>
            </w:r>
          </w:p>
        </w:tc>
        <w:tc>
          <w:tcPr>
            <w:tcW w:type="dxa" w:w="4464"/>
            <w:tcMar>
              <w:top w:w="70" w:type="dxa"/>
              <w:bottom w:w="70" w:type="dxa"/>
              <w:start w:w="90" w:type="dxa"/>
              <w:end w:w="90" w:type="dxa"/>
            </w:tcMar>
            <w:shd w:val="clear" w:color="auto" w:fill="F5FAF8"/>
          </w:tcPr>
          <w:p>
            <w:pPr>
              <w:spacing w:after="0" w:line="252" w:lineRule="auto"/>
            </w:pPr>
            <w:r>
              <w:rPr>
                <w:rFonts w:ascii="Calibri" w:hAnsi="Calibri"/>
                <w:color w:val="0B1F1A"/>
                <w:sz w:val="16"/>
              </w:rPr>
              <w:t>Signed log-odds, globally interpretable</w:t>
            </w:r>
          </w:p>
        </w:tc>
      </w:tr>
      <w:tr>
        <w:tc>
          <w:tcPr>
            <w:tcW w:type="dxa" w:w="2304"/>
            <w:tcMar>
              <w:top w:w="70" w:type="dxa"/>
              <w:bottom w:w="70" w:type="dxa"/>
              <w:start w:w="90" w:type="dxa"/>
              <w:end w:w="90" w:type="dxa"/>
            </w:tcMar>
          </w:tcPr>
          <w:p>
            <w:pPr>
              <w:spacing w:after="0" w:line="252" w:lineRule="auto"/>
            </w:pPr>
            <w:r>
              <w:rPr>
                <w:rFonts w:ascii="Calibri" w:hAnsi="Calibri"/>
                <w:color w:val="0B1F1A"/>
                <w:sz w:val="16"/>
              </w:rPr>
              <w:t>Native feature importance</w:t>
            </w:r>
          </w:p>
        </w:tc>
        <w:tc>
          <w:tcPr>
            <w:tcW w:type="dxa" w:w="3168"/>
            <w:tcMar>
              <w:top w:w="70" w:type="dxa"/>
              <w:bottom w:w="70" w:type="dxa"/>
              <w:start w:w="90" w:type="dxa"/>
              <w:end w:w="90" w:type="dxa"/>
            </w:tcMar>
          </w:tcPr>
          <w:p>
            <w:pPr>
              <w:spacing w:after="0" w:line="252" w:lineRule="auto"/>
            </w:pPr>
            <w:r>
              <w:rPr>
                <w:rFonts w:ascii="Calibri" w:hAnsi="Calibri"/>
                <w:color w:val="0B1F1A"/>
                <w:sz w:val="16"/>
              </w:rPr>
              <w:t>Tree models</w:t>
            </w:r>
          </w:p>
        </w:tc>
        <w:tc>
          <w:tcPr>
            <w:tcW w:type="dxa" w:w="4464"/>
            <w:tcMar>
              <w:top w:w="70" w:type="dxa"/>
              <w:bottom w:w="70" w:type="dxa"/>
              <w:start w:w="90" w:type="dxa"/>
              <w:end w:w="90" w:type="dxa"/>
            </w:tcMar>
          </w:tcPr>
          <w:p>
            <w:pPr>
              <w:spacing w:after="0" w:line="252" w:lineRule="auto"/>
            </w:pPr>
            <w:r>
              <w:rPr>
                <w:rFonts w:ascii="Calibri" w:hAnsi="Calibri"/>
                <w:color w:val="0B1F1A"/>
                <w:sz w:val="16"/>
              </w:rPr>
              <w:t>Impurity/gain based importance</w:t>
            </w:r>
          </w:p>
        </w:tc>
      </w:tr>
    </w:tbl>
    <w:p>
      <w:pPr>
        <w:spacing w:after="40"/>
      </w:pPr>
    </w:p>
    <w:p>
      <w:pPr>
        <w:pStyle w:val="Heading2"/>
        <w:keepNext/>
        <w:spacing w:before="180" w:after="100"/>
      </w:pPr>
      <w:r>
        <w:t>8.2 Global drivers</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1008"/>
            <w:shd w:val="clear" w:color="auto" w:fill="0B3B2E"/>
            <w:tcMar>
              <w:top w:w="70" w:type="dxa"/>
              <w:bottom w:w="70" w:type="dxa"/>
              <w:start w:w="90" w:type="dxa"/>
              <w:end w:w="90" w:type="dxa"/>
            </w:tcMar>
          </w:tcPr>
          <w:p>
            <w:pPr>
              <w:spacing w:after="0"/>
            </w:pPr>
            <w:r>
              <w:rPr>
                <w:rFonts w:ascii="Calibri" w:hAnsi="Calibri"/>
                <w:b/>
                <w:color w:val="FFFFFF"/>
                <w:sz w:val="16"/>
              </w:rPr>
              <w:t>Rank</w:t>
            </w:r>
          </w:p>
        </w:tc>
        <w:tc>
          <w:tcPr>
            <w:tcW w:type="dxa" w:w="5472"/>
            <w:shd w:val="clear" w:color="auto" w:fill="0B3B2E"/>
            <w:tcMar>
              <w:top w:w="70" w:type="dxa"/>
              <w:bottom w:w="70" w:type="dxa"/>
              <w:start w:w="90" w:type="dxa"/>
              <w:end w:w="90" w:type="dxa"/>
            </w:tcMar>
          </w:tcPr>
          <w:p>
            <w:pPr>
              <w:spacing w:after="0"/>
            </w:pPr>
            <w:r>
              <w:rPr>
                <w:rFonts w:ascii="Calibri" w:hAnsi="Calibri"/>
                <w:b/>
                <w:color w:val="FFFFFF"/>
                <w:sz w:val="16"/>
              </w:rPr>
              <w:t>Driver</w:t>
            </w:r>
          </w:p>
        </w:tc>
        <w:tc>
          <w:tcPr>
            <w:tcW w:type="dxa" w:w="2304"/>
            <w:shd w:val="clear" w:color="auto" w:fill="0B3B2E"/>
            <w:tcMar>
              <w:top w:w="70" w:type="dxa"/>
              <w:bottom w:w="70" w:type="dxa"/>
              <w:start w:w="90" w:type="dxa"/>
              <w:end w:w="90" w:type="dxa"/>
            </w:tcMar>
          </w:tcPr>
          <w:p>
            <w:pPr>
              <w:spacing w:after="0"/>
            </w:pPr>
            <w:r>
              <w:rPr>
                <w:rFonts w:ascii="Calibri" w:hAnsi="Calibri"/>
                <w:b/>
                <w:color w:val="FFFFFF"/>
                <w:sz w:val="16"/>
              </w:rPr>
              <w:t>Mean |SHAP|</w:t>
            </w:r>
          </w:p>
        </w:tc>
      </w:tr>
      <w:tr>
        <w:tc>
          <w:tcPr>
            <w:tcW w:type="dxa" w:w="1008"/>
            <w:tcMar>
              <w:top w:w="70" w:type="dxa"/>
              <w:bottom w:w="70" w:type="dxa"/>
              <w:start w:w="90" w:type="dxa"/>
              <w:end w:w="90" w:type="dxa"/>
            </w:tcMar>
          </w:tcPr>
          <w:p>
            <w:pPr>
              <w:spacing w:after="0" w:line="252" w:lineRule="auto"/>
            </w:pPr>
            <w:r>
              <w:rPr>
                <w:rFonts w:ascii="Calibri" w:hAnsi="Calibri"/>
                <w:color w:val="0B1F1A"/>
                <w:sz w:val="16"/>
              </w:rPr>
              <w:t>1</w:t>
            </w:r>
          </w:p>
        </w:tc>
        <w:tc>
          <w:tcPr>
            <w:tcW w:type="dxa" w:w="5472"/>
            <w:tcMar>
              <w:top w:w="70" w:type="dxa"/>
              <w:bottom w:w="70" w:type="dxa"/>
              <w:start w:w="90" w:type="dxa"/>
              <w:end w:w="90" w:type="dxa"/>
            </w:tcMar>
          </w:tcPr>
          <w:p>
            <w:pPr>
              <w:spacing w:after="0" w:line="252" w:lineRule="auto"/>
            </w:pPr>
            <w:r>
              <w:rPr>
                <w:rFonts w:ascii="Calibri" w:hAnsi="Calibri"/>
                <w:color w:val="0B1F1A"/>
                <w:sz w:val="16"/>
              </w:rPr>
              <w:t>Internet service</w:t>
            </w:r>
          </w:p>
        </w:tc>
        <w:tc>
          <w:tcPr>
            <w:tcW w:type="dxa" w:w="2304"/>
            <w:tcMar>
              <w:top w:w="70" w:type="dxa"/>
              <w:bottom w:w="70" w:type="dxa"/>
              <w:start w:w="90" w:type="dxa"/>
              <w:end w:w="90" w:type="dxa"/>
            </w:tcMar>
          </w:tcPr>
          <w:p>
            <w:pPr>
              <w:spacing w:after="0" w:line="252" w:lineRule="auto"/>
            </w:pPr>
            <w:r>
              <w:rPr>
                <w:rFonts w:ascii="Calibri" w:hAnsi="Calibri"/>
                <w:color w:val="0B1F1A"/>
                <w:sz w:val="16"/>
              </w:rPr>
              <w:t>0.7547</w:t>
            </w:r>
          </w:p>
        </w:tc>
      </w:tr>
      <w:tr>
        <w:tc>
          <w:tcPr>
            <w:tcW w:type="dxa" w:w="1008"/>
            <w:tcMar>
              <w:top w:w="70" w:type="dxa"/>
              <w:bottom w:w="70" w:type="dxa"/>
              <w:start w:w="90" w:type="dxa"/>
              <w:end w:w="90" w:type="dxa"/>
            </w:tcMar>
            <w:shd w:val="clear" w:color="auto" w:fill="F5FAF8"/>
          </w:tcPr>
          <w:p>
            <w:pPr>
              <w:spacing w:after="0" w:line="252" w:lineRule="auto"/>
            </w:pPr>
            <w:r>
              <w:rPr>
                <w:rFonts w:ascii="Calibri" w:hAnsi="Calibri"/>
                <w:color w:val="0B1F1A"/>
                <w:sz w:val="16"/>
              </w:rPr>
              <w:t>2</w:t>
            </w:r>
          </w:p>
        </w:tc>
        <w:tc>
          <w:tcPr>
            <w:tcW w:type="dxa" w:w="5472"/>
            <w:tcMar>
              <w:top w:w="70" w:type="dxa"/>
              <w:bottom w:w="70" w:type="dxa"/>
              <w:start w:w="90" w:type="dxa"/>
              <w:end w:w="90" w:type="dxa"/>
            </w:tcMar>
            <w:shd w:val="clear" w:color="auto" w:fill="F5FAF8"/>
          </w:tcPr>
          <w:p>
            <w:pPr>
              <w:spacing w:after="0" w:line="252" w:lineRule="auto"/>
            </w:pPr>
            <w:r>
              <w:rPr>
                <w:rFonts w:ascii="Calibri" w:hAnsi="Calibri"/>
                <w:color w:val="0B1F1A"/>
                <w:sz w:val="16"/>
              </w:rPr>
              <w:t>Contract</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0.6228</w:t>
            </w:r>
          </w:p>
        </w:tc>
      </w:tr>
      <w:tr>
        <w:tc>
          <w:tcPr>
            <w:tcW w:type="dxa" w:w="1008"/>
            <w:tcMar>
              <w:top w:w="70" w:type="dxa"/>
              <w:bottom w:w="70" w:type="dxa"/>
              <w:start w:w="90" w:type="dxa"/>
              <w:end w:w="90" w:type="dxa"/>
            </w:tcMar>
          </w:tcPr>
          <w:p>
            <w:pPr>
              <w:spacing w:after="0" w:line="252" w:lineRule="auto"/>
            </w:pPr>
            <w:r>
              <w:rPr>
                <w:rFonts w:ascii="Calibri" w:hAnsi="Calibri"/>
                <w:color w:val="0B1F1A"/>
                <w:sz w:val="16"/>
              </w:rPr>
              <w:t>3</w:t>
            </w:r>
          </w:p>
        </w:tc>
        <w:tc>
          <w:tcPr>
            <w:tcW w:type="dxa" w:w="5472"/>
            <w:tcMar>
              <w:top w:w="70" w:type="dxa"/>
              <w:bottom w:w="70" w:type="dxa"/>
              <w:start w:w="90" w:type="dxa"/>
              <w:end w:w="90" w:type="dxa"/>
            </w:tcMar>
          </w:tcPr>
          <w:p>
            <w:pPr>
              <w:spacing w:after="0" w:line="252" w:lineRule="auto"/>
            </w:pPr>
            <w:r>
              <w:rPr>
                <w:rFonts w:ascii="Calibri" w:hAnsi="Calibri"/>
                <w:color w:val="0B1F1A"/>
                <w:sz w:val="16"/>
              </w:rPr>
              <w:t>Tenure (months)</w:t>
            </w:r>
          </w:p>
        </w:tc>
        <w:tc>
          <w:tcPr>
            <w:tcW w:type="dxa" w:w="2304"/>
            <w:tcMar>
              <w:top w:w="70" w:type="dxa"/>
              <w:bottom w:w="70" w:type="dxa"/>
              <w:start w:w="90" w:type="dxa"/>
              <w:end w:w="90" w:type="dxa"/>
            </w:tcMar>
          </w:tcPr>
          <w:p>
            <w:pPr>
              <w:spacing w:after="0" w:line="252" w:lineRule="auto"/>
            </w:pPr>
            <w:r>
              <w:rPr>
                <w:rFonts w:ascii="Calibri" w:hAnsi="Calibri"/>
                <w:color w:val="0B1F1A"/>
                <w:sz w:val="16"/>
              </w:rPr>
              <w:t>0.5937</w:t>
            </w:r>
          </w:p>
        </w:tc>
      </w:tr>
      <w:tr>
        <w:tc>
          <w:tcPr>
            <w:tcW w:type="dxa" w:w="1008"/>
            <w:tcMar>
              <w:top w:w="70" w:type="dxa"/>
              <w:bottom w:w="70" w:type="dxa"/>
              <w:start w:w="90" w:type="dxa"/>
              <w:end w:w="90" w:type="dxa"/>
            </w:tcMar>
            <w:shd w:val="clear" w:color="auto" w:fill="F5FAF8"/>
          </w:tcPr>
          <w:p>
            <w:pPr>
              <w:spacing w:after="0" w:line="252" w:lineRule="auto"/>
            </w:pPr>
            <w:r>
              <w:rPr>
                <w:rFonts w:ascii="Calibri" w:hAnsi="Calibri"/>
                <w:color w:val="0B1F1A"/>
                <w:sz w:val="16"/>
              </w:rPr>
              <w:t>4</w:t>
            </w:r>
          </w:p>
        </w:tc>
        <w:tc>
          <w:tcPr>
            <w:tcW w:type="dxa" w:w="5472"/>
            <w:tcMar>
              <w:top w:w="70" w:type="dxa"/>
              <w:bottom w:w="70" w:type="dxa"/>
              <w:start w:w="90" w:type="dxa"/>
              <w:end w:w="90" w:type="dxa"/>
            </w:tcMar>
            <w:shd w:val="clear" w:color="auto" w:fill="F5FAF8"/>
          </w:tcPr>
          <w:p>
            <w:pPr>
              <w:spacing w:after="0" w:line="252" w:lineRule="auto"/>
            </w:pPr>
            <w:r>
              <w:rPr>
                <w:rFonts w:ascii="Calibri" w:hAnsi="Calibri"/>
                <w:color w:val="0B1F1A"/>
                <w:sz w:val="16"/>
              </w:rPr>
              <w:t>Monthly charges ($)</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0.5479</w:t>
            </w:r>
          </w:p>
        </w:tc>
      </w:tr>
      <w:tr>
        <w:tc>
          <w:tcPr>
            <w:tcW w:type="dxa" w:w="1008"/>
            <w:tcMar>
              <w:top w:w="70" w:type="dxa"/>
              <w:bottom w:w="70" w:type="dxa"/>
              <w:start w:w="90" w:type="dxa"/>
              <w:end w:w="90" w:type="dxa"/>
            </w:tcMar>
          </w:tcPr>
          <w:p>
            <w:pPr>
              <w:spacing w:after="0" w:line="252" w:lineRule="auto"/>
            </w:pPr>
            <w:r>
              <w:rPr>
                <w:rFonts w:ascii="Calibri" w:hAnsi="Calibri"/>
                <w:color w:val="0B1F1A"/>
                <w:sz w:val="16"/>
              </w:rPr>
              <w:t>5</w:t>
            </w:r>
          </w:p>
        </w:tc>
        <w:tc>
          <w:tcPr>
            <w:tcW w:type="dxa" w:w="5472"/>
            <w:tcMar>
              <w:top w:w="70" w:type="dxa"/>
              <w:bottom w:w="70" w:type="dxa"/>
              <w:start w:w="90" w:type="dxa"/>
              <w:end w:w="90" w:type="dxa"/>
            </w:tcMar>
          </w:tcPr>
          <w:p>
            <w:pPr>
              <w:spacing w:after="0" w:line="252" w:lineRule="auto"/>
            </w:pPr>
            <w:r>
              <w:rPr>
                <w:rFonts w:ascii="Calibri" w:hAnsi="Calibri"/>
                <w:color w:val="0B1F1A"/>
                <w:sz w:val="16"/>
              </w:rPr>
              <w:t>Streaming services</w:t>
            </w:r>
          </w:p>
        </w:tc>
        <w:tc>
          <w:tcPr>
            <w:tcW w:type="dxa" w:w="2304"/>
            <w:tcMar>
              <w:top w:w="70" w:type="dxa"/>
              <w:bottom w:w="70" w:type="dxa"/>
              <w:start w:w="90" w:type="dxa"/>
              <w:end w:w="90" w:type="dxa"/>
            </w:tcMar>
          </w:tcPr>
          <w:p>
            <w:pPr>
              <w:spacing w:after="0" w:line="252" w:lineRule="auto"/>
            </w:pPr>
            <w:r>
              <w:rPr>
                <w:rFonts w:ascii="Calibri" w:hAnsi="Calibri"/>
                <w:color w:val="0B1F1A"/>
                <w:sz w:val="16"/>
              </w:rPr>
              <w:t>0.2658</w:t>
            </w:r>
          </w:p>
        </w:tc>
      </w:tr>
      <w:tr>
        <w:tc>
          <w:tcPr>
            <w:tcW w:type="dxa" w:w="1008"/>
            <w:tcMar>
              <w:top w:w="70" w:type="dxa"/>
              <w:bottom w:w="70" w:type="dxa"/>
              <w:start w:w="90" w:type="dxa"/>
              <w:end w:w="90" w:type="dxa"/>
            </w:tcMar>
            <w:shd w:val="clear" w:color="auto" w:fill="F5FAF8"/>
          </w:tcPr>
          <w:p>
            <w:pPr>
              <w:spacing w:after="0" w:line="252" w:lineRule="auto"/>
            </w:pPr>
            <w:r>
              <w:rPr>
                <w:rFonts w:ascii="Calibri" w:hAnsi="Calibri"/>
                <w:color w:val="0B1F1A"/>
                <w:sz w:val="16"/>
              </w:rPr>
              <w:t>6</w:t>
            </w:r>
          </w:p>
        </w:tc>
        <w:tc>
          <w:tcPr>
            <w:tcW w:type="dxa" w:w="5472"/>
            <w:tcMar>
              <w:top w:w="70" w:type="dxa"/>
              <w:bottom w:w="70" w:type="dxa"/>
              <w:start w:w="90" w:type="dxa"/>
              <w:end w:w="90" w:type="dxa"/>
            </w:tcMar>
            <w:shd w:val="clear" w:color="auto" w:fill="F5FAF8"/>
          </w:tcPr>
          <w:p>
            <w:pPr>
              <w:spacing w:after="0" w:line="252" w:lineRule="auto"/>
            </w:pPr>
            <w:r>
              <w:rPr>
                <w:rFonts w:ascii="Calibri" w:hAnsi="Calibri"/>
                <w:color w:val="0B1F1A"/>
                <w:sz w:val="16"/>
              </w:rPr>
              <w:t>Payment method</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0.2498</w:t>
            </w:r>
          </w:p>
        </w:tc>
      </w:tr>
      <w:tr>
        <w:tc>
          <w:tcPr>
            <w:tcW w:type="dxa" w:w="1008"/>
            <w:tcMar>
              <w:top w:w="70" w:type="dxa"/>
              <w:bottom w:w="70" w:type="dxa"/>
              <w:start w:w="90" w:type="dxa"/>
              <w:end w:w="90" w:type="dxa"/>
            </w:tcMar>
          </w:tcPr>
          <w:p>
            <w:pPr>
              <w:spacing w:after="0" w:line="252" w:lineRule="auto"/>
            </w:pPr>
            <w:r>
              <w:rPr>
                <w:rFonts w:ascii="Calibri" w:hAnsi="Calibri"/>
                <w:color w:val="0B1F1A"/>
                <w:sz w:val="16"/>
              </w:rPr>
              <w:t>7</w:t>
            </w:r>
          </w:p>
        </w:tc>
        <w:tc>
          <w:tcPr>
            <w:tcW w:type="dxa" w:w="5472"/>
            <w:tcMar>
              <w:top w:w="70" w:type="dxa"/>
              <w:bottom w:w="70" w:type="dxa"/>
              <w:start w:w="90" w:type="dxa"/>
              <w:end w:w="90" w:type="dxa"/>
            </w:tcMar>
          </w:tcPr>
          <w:p>
            <w:pPr>
              <w:spacing w:after="0" w:line="252" w:lineRule="auto"/>
            </w:pPr>
            <w:r>
              <w:rPr>
                <w:rFonts w:ascii="Calibri" w:hAnsi="Calibri"/>
                <w:color w:val="0B1F1A"/>
                <w:sz w:val="16"/>
              </w:rPr>
              <w:t>New customer (&lt;= 6 months)</w:t>
            </w:r>
          </w:p>
        </w:tc>
        <w:tc>
          <w:tcPr>
            <w:tcW w:type="dxa" w:w="2304"/>
            <w:tcMar>
              <w:top w:w="70" w:type="dxa"/>
              <w:bottom w:w="70" w:type="dxa"/>
              <w:start w:w="90" w:type="dxa"/>
              <w:end w:w="90" w:type="dxa"/>
            </w:tcMar>
          </w:tcPr>
          <w:p>
            <w:pPr>
              <w:spacing w:after="0" w:line="252" w:lineRule="auto"/>
            </w:pPr>
            <w:r>
              <w:rPr>
                <w:rFonts w:ascii="Calibri" w:hAnsi="Calibri"/>
                <w:color w:val="0B1F1A"/>
                <w:sz w:val="16"/>
              </w:rPr>
              <w:t>0.2428</w:t>
            </w:r>
          </w:p>
        </w:tc>
      </w:tr>
      <w:tr>
        <w:tc>
          <w:tcPr>
            <w:tcW w:type="dxa" w:w="1008"/>
            <w:tcMar>
              <w:top w:w="70" w:type="dxa"/>
              <w:bottom w:w="70" w:type="dxa"/>
              <w:start w:w="90" w:type="dxa"/>
              <w:end w:w="90" w:type="dxa"/>
            </w:tcMar>
            <w:shd w:val="clear" w:color="auto" w:fill="F5FAF8"/>
          </w:tcPr>
          <w:p>
            <w:pPr>
              <w:spacing w:after="0" w:line="252" w:lineRule="auto"/>
            </w:pPr>
            <w:r>
              <w:rPr>
                <w:rFonts w:ascii="Calibri" w:hAnsi="Calibri"/>
                <w:color w:val="0B1F1A"/>
                <w:sz w:val="16"/>
              </w:rPr>
              <w:t>8</w:t>
            </w:r>
          </w:p>
        </w:tc>
        <w:tc>
          <w:tcPr>
            <w:tcW w:type="dxa" w:w="5472"/>
            <w:tcMar>
              <w:top w:w="70" w:type="dxa"/>
              <w:bottom w:w="70" w:type="dxa"/>
              <w:start w:w="90" w:type="dxa"/>
              <w:end w:w="90" w:type="dxa"/>
            </w:tcMar>
            <w:shd w:val="clear" w:color="auto" w:fill="F5FAF8"/>
          </w:tcPr>
          <w:p>
            <w:pPr>
              <w:spacing w:after="0" w:line="252" w:lineRule="auto"/>
            </w:pPr>
            <w:r>
              <w:rPr>
                <w:rFonts w:ascii="Calibri" w:hAnsi="Calibri"/>
                <w:color w:val="0B1F1A"/>
                <w:sz w:val="16"/>
              </w:rPr>
              <w:t>Online security</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0.2365</w:t>
            </w:r>
          </w:p>
        </w:tc>
      </w:tr>
    </w:tbl>
    <w:p>
      <w:pPr>
        <w:spacing w:after="40"/>
      </w:pPr>
    </w:p>
    <w:p>
      <w:pPr>
        <w:spacing w:after="140" w:line="307" w:lineRule="auto"/>
      </w:pPr>
      <w:r>
        <w:rPr>
          <w:i w:val="0"/>
        </w:rPr>
        <w:t>Internet service, contract type, tenure and monthly charges dominate the model's global behaviour. These are also the levers the retention playbook targets.</w:t>
      </w:r>
    </w:p>
    <w:p>
      <w:pPr>
        <w:pStyle w:val="Heading2"/>
        <w:keepNext/>
        <w:spacing w:before="180" w:after="100"/>
      </w:pPr>
      <w:r>
        <w:t>8.3 Per-customer explanations</w:t>
      </w:r>
    </w:p>
    <w:p>
      <w:pPr>
        <w:spacing w:after="140" w:line="307" w:lineRule="auto"/>
      </w:pPr>
      <w:r>
        <w:rPr>
          <w:i w:val="0"/>
        </w:rPr>
        <w:t>For a single customer the API returns the five strongest signed contributions. One-hot columns are collapsed back to the category the customer actually holds, so the response never says 'Fiber optic' for a customer with no internet. The top risk-increasing driver is exposed separately as top_risk_driver and is used in customer-facing copy.</w:t>
      </w:r>
    </w:p>
    <w:tbl>
      <w:tblPr>
        <w:tblW w:type="auto" w:w="0"/>
        <w:jc w:val="center"/>
        <w:tblLook w:firstColumn="1" w:firstRow="1" w:lastColumn="0" w:lastRow="0" w:noHBand="0" w:noVBand="1" w:val="04A0"/>
        <w:tblBorders>
          <w:top w:val="single" w:sz="6" w:space="0" w:color="BFE8D5"/>
          <w:left w:val="single" w:sz="6" w:space="0" w:color="BFE8D5"/>
          <w:bottom w:val="single" w:sz="6" w:space="0" w:color="BFE8D5"/>
          <w:right w:val="single" w:sz="6" w:space="0" w:color="BFE8D5"/>
          <w:insideH w:val="single" w:sz="6" w:space="0" w:color="BFE8D5"/>
          <w:insideV w:val="single" w:sz="6" w:space="0" w:color="BFE8D5"/>
        </w:tblBorders>
      </w:tblPr>
      <w:tblGrid>
        <w:gridCol w:w="9638"/>
      </w:tblGrid>
      <w:tr>
        <w:tc>
          <w:tcPr>
            <w:tcW w:type="dxa" w:w="9638"/>
            <w:shd w:val="clear" w:color="auto" w:fill="F1FAF6"/>
            <w:tcMar>
              <w:top w:w="130" w:type="dxa"/>
              <w:bottom w:w="130" w:type="dxa"/>
              <w:start w:w="170" w:type="dxa"/>
              <w:end w:w="170" w:type="dxa"/>
            </w:tcMar>
          </w:tcPr>
          <w:p>
            <w:pPr>
              <w:spacing w:after="60"/>
            </w:pPr>
            <w:r>
              <w:rPr>
                <w:b/>
                <w:color w:val="0EA96F"/>
                <w:sz w:val="19"/>
              </w:rPr>
              <w:t>Read SHAP correctly</w:t>
            </w:r>
          </w:p>
          <w:p>
            <w:pPr>
              <w:spacing w:after="0" w:line="288" w:lineRule="auto"/>
            </w:pPr>
            <w:r>
              <w:rPr>
                <w:color w:val="0B1F1A"/>
                <w:sz w:val="18"/>
              </w:rPr>
              <w:t>SHAP values are conditional on the other features. In this dataset monthly charges have a positive marginal association with churn, yet for a new fiber customer with streaming add-ons the incremental price contribution can be negative because the rest of the profile already explains the risk. SHAP answers 'why this prediction, given this profile', not 'what happens if we raise the price by $10'.</w:t>
            </w:r>
          </w:p>
        </w:tc>
      </w:tr>
    </w:tbl>
    <w:p>
      <w:pPr>
        <w:spacing w:after="40"/>
      </w:pPr>
    </w:p>
    <w:p>
      <w:r>
        <w:br w:type="page"/>
      </w:r>
    </w:p>
    <w:p>
      <w:pPr>
        <w:pStyle w:val="Heading1"/>
        <w:keepNext/>
        <w:spacing w:before="240" w:after="100"/>
      </w:pPr>
      <w:r>
        <w:t>9. Risk scoring and business value</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2409"/>
        <w:gridCol w:w="2409"/>
        <w:gridCol w:w="2409"/>
        <w:gridCol w:w="2409"/>
      </w:tblGrid>
      <w:tr>
        <w:trPr>
          <w:tblHeader w:val="true"/>
        </w:trPr>
        <w:tc>
          <w:tcPr>
            <w:tcW w:type="dxa" w:w="2016"/>
            <w:shd w:val="clear" w:color="auto" w:fill="0B3B2E"/>
            <w:tcMar>
              <w:top w:w="70" w:type="dxa"/>
              <w:bottom w:w="70" w:type="dxa"/>
              <w:start w:w="90" w:type="dxa"/>
              <w:end w:w="90" w:type="dxa"/>
            </w:tcMar>
          </w:tcPr>
          <w:p>
            <w:pPr>
              <w:spacing w:after="0"/>
            </w:pPr>
            <w:r>
              <w:rPr>
                <w:rFonts w:ascii="Calibri" w:hAnsi="Calibri"/>
                <w:b/>
                <w:color w:val="FFFFFF"/>
                <w:sz w:val="16"/>
              </w:rPr>
              <w:t>Risk band</w:t>
            </w:r>
          </w:p>
        </w:tc>
        <w:tc>
          <w:tcPr>
            <w:tcW w:type="dxa" w:w="2592"/>
            <w:shd w:val="clear" w:color="auto" w:fill="0B3B2E"/>
            <w:tcMar>
              <w:top w:w="70" w:type="dxa"/>
              <w:bottom w:w="70" w:type="dxa"/>
              <w:start w:w="90" w:type="dxa"/>
              <w:end w:w="90" w:type="dxa"/>
            </w:tcMar>
          </w:tcPr>
          <w:p>
            <w:pPr>
              <w:spacing w:after="0"/>
            </w:pPr>
            <w:r>
              <w:rPr>
                <w:rFonts w:ascii="Calibri" w:hAnsi="Calibri"/>
                <w:b/>
                <w:color w:val="FFFFFF"/>
                <w:sz w:val="16"/>
              </w:rPr>
              <w:t>Probability</w:t>
            </w:r>
          </w:p>
        </w:tc>
        <w:tc>
          <w:tcPr>
            <w:tcW w:type="dxa" w:w="2304"/>
            <w:shd w:val="clear" w:color="auto" w:fill="0B3B2E"/>
            <w:tcMar>
              <w:top w:w="70" w:type="dxa"/>
              <w:bottom w:w="70" w:type="dxa"/>
              <w:start w:w="90" w:type="dxa"/>
              <w:end w:w="90" w:type="dxa"/>
            </w:tcMar>
          </w:tcPr>
          <w:p>
            <w:pPr>
              <w:spacing w:after="0"/>
            </w:pPr>
            <w:r>
              <w:rPr>
                <w:rFonts w:ascii="Calibri" w:hAnsi="Calibri"/>
                <w:b/>
                <w:color w:val="FFFFFF"/>
                <w:sz w:val="16"/>
              </w:rPr>
              <w:t>Customers</w:t>
            </w:r>
          </w:p>
        </w:tc>
        <w:tc>
          <w:tcPr>
            <w:tcW w:type="dxa" w:w="1872"/>
            <w:shd w:val="clear" w:color="auto" w:fill="0B3B2E"/>
            <w:tcMar>
              <w:top w:w="70" w:type="dxa"/>
              <w:bottom w:w="70" w:type="dxa"/>
              <w:start w:w="90" w:type="dxa"/>
              <w:end w:w="90" w:type="dxa"/>
            </w:tcMar>
          </w:tcPr>
          <w:p>
            <w:pPr>
              <w:spacing w:after="0"/>
            </w:pPr>
            <w:r>
              <w:rPr>
                <w:rFonts w:ascii="Calibri" w:hAnsi="Calibri"/>
                <w:b/>
                <w:color w:val="FFFFFF"/>
                <w:sz w:val="16"/>
              </w:rPr>
              <w:t>Share</w:t>
            </w:r>
          </w:p>
        </w:tc>
      </w:tr>
      <w:tr>
        <w:tc>
          <w:tcPr>
            <w:tcW w:type="dxa" w:w="2016"/>
            <w:tcMar>
              <w:top w:w="70" w:type="dxa"/>
              <w:bottom w:w="70" w:type="dxa"/>
              <w:start w:w="90" w:type="dxa"/>
              <w:end w:w="90" w:type="dxa"/>
            </w:tcMar>
          </w:tcPr>
          <w:p>
            <w:pPr>
              <w:spacing w:after="0" w:line="252" w:lineRule="auto"/>
            </w:pPr>
            <w:r>
              <w:rPr>
                <w:rFonts w:ascii="Calibri" w:hAnsi="Calibri"/>
                <w:color w:val="0B1F1A"/>
                <w:sz w:val="16"/>
              </w:rPr>
              <w:t>Low</w:t>
            </w:r>
          </w:p>
        </w:tc>
        <w:tc>
          <w:tcPr>
            <w:tcW w:type="dxa" w:w="2592"/>
            <w:tcMar>
              <w:top w:w="70" w:type="dxa"/>
              <w:bottom w:w="70" w:type="dxa"/>
              <w:start w:w="90" w:type="dxa"/>
              <w:end w:w="90" w:type="dxa"/>
            </w:tcMar>
          </w:tcPr>
          <w:p>
            <w:pPr>
              <w:spacing w:after="0" w:line="252" w:lineRule="auto"/>
            </w:pPr>
            <w:r>
              <w:rPr>
                <w:rFonts w:ascii="Calibri" w:hAnsi="Calibri"/>
                <w:color w:val="0B1F1A"/>
                <w:sz w:val="16"/>
              </w:rPr>
              <w:t>0.00 – 0.32</w:t>
            </w:r>
          </w:p>
        </w:tc>
        <w:tc>
          <w:tcPr>
            <w:tcW w:type="dxa" w:w="2304"/>
            <w:tcMar>
              <w:top w:w="70" w:type="dxa"/>
              <w:bottom w:w="70" w:type="dxa"/>
              <w:start w:w="90" w:type="dxa"/>
              <w:end w:w="90" w:type="dxa"/>
            </w:tcMar>
          </w:tcPr>
          <w:p>
            <w:pPr>
              <w:spacing w:after="0" w:line="252" w:lineRule="auto"/>
            </w:pPr>
            <w:r>
              <w:rPr>
                <w:rFonts w:ascii="Calibri" w:hAnsi="Calibri"/>
                <w:color w:val="0B1F1A"/>
                <w:sz w:val="16"/>
              </w:rPr>
              <w:t>4,552</w:t>
            </w:r>
          </w:p>
        </w:tc>
        <w:tc>
          <w:tcPr>
            <w:tcW w:type="dxa" w:w="1872"/>
            <w:tcMar>
              <w:top w:w="70" w:type="dxa"/>
              <w:bottom w:w="70" w:type="dxa"/>
              <w:start w:w="90" w:type="dxa"/>
              <w:end w:w="90" w:type="dxa"/>
            </w:tcMar>
          </w:tcPr>
          <w:p>
            <w:pPr>
              <w:spacing w:after="0" w:line="252" w:lineRule="auto"/>
            </w:pPr>
            <w:r>
              <w:rPr>
                <w:rFonts w:ascii="Calibri" w:hAnsi="Calibri"/>
                <w:color w:val="0B1F1A"/>
                <w:sz w:val="16"/>
              </w:rPr>
              <w:t>64.6%</w:t>
            </w:r>
          </w:p>
        </w:tc>
      </w:tr>
      <w:tr>
        <w:tc>
          <w:tcPr>
            <w:tcW w:type="dxa" w:w="2016"/>
            <w:tcMar>
              <w:top w:w="70" w:type="dxa"/>
              <w:bottom w:w="70" w:type="dxa"/>
              <w:start w:w="90" w:type="dxa"/>
              <w:end w:w="90" w:type="dxa"/>
            </w:tcMar>
            <w:shd w:val="clear" w:color="auto" w:fill="F5FAF8"/>
          </w:tcPr>
          <w:p>
            <w:pPr>
              <w:spacing w:after="0" w:line="252" w:lineRule="auto"/>
            </w:pPr>
            <w:r>
              <w:rPr>
                <w:rFonts w:ascii="Calibri" w:hAnsi="Calibri"/>
                <w:color w:val="0B1F1A"/>
                <w:sz w:val="16"/>
              </w:rPr>
              <w:t>Medium</w:t>
            </w:r>
          </w:p>
        </w:tc>
        <w:tc>
          <w:tcPr>
            <w:tcW w:type="dxa" w:w="2592"/>
            <w:tcMar>
              <w:top w:w="70" w:type="dxa"/>
              <w:bottom w:w="70" w:type="dxa"/>
              <w:start w:w="90" w:type="dxa"/>
              <w:end w:w="90" w:type="dxa"/>
            </w:tcMar>
            <w:shd w:val="clear" w:color="auto" w:fill="F5FAF8"/>
          </w:tcPr>
          <w:p>
            <w:pPr>
              <w:spacing w:after="0" w:line="252" w:lineRule="auto"/>
            </w:pPr>
            <w:r>
              <w:rPr>
                <w:rFonts w:ascii="Calibri" w:hAnsi="Calibri"/>
                <w:color w:val="0B1F1A"/>
                <w:sz w:val="16"/>
              </w:rPr>
              <w:t>0.32 – 0.60</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1,489</w:t>
            </w:r>
          </w:p>
        </w:tc>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21.1%</w:t>
            </w:r>
          </w:p>
        </w:tc>
      </w:tr>
      <w:tr>
        <w:tc>
          <w:tcPr>
            <w:tcW w:type="dxa" w:w="2016"/>
            <w:tcMar>
              <w:top w:w="70" w:type="dxa"/>
              <w:bottom w:w="70" w:type="dxa"/>
              <w:start w:w="90" w:type="dxa"/>
              <w:end w:w="90" w:type="dxa"/>
            </w:tcMar>
          </w:tcPr>
          <w:p>
            <w:pPr>
              <w:spacing w:after="0" w:line="252" w:lineRule="auto"/>
            </w:pPr>
            <w:r>
              <w:rPr>
                <w:rFonts w:ascii="Calibri" w:hAnsi="Calibri"/>
                <w:color w:val="0B1F1A"/>
                <w:sz w:val="16"/>
              </w:rPr>
              <w:t>High</w:t>
            </w:r>
          </w:p>
        </w:tc>
        <w:tc>
          <w:tcPr>
            <w:tcW w:type="dxa" w:w="2592"/>
            <w:tcMar>
              <w:top w:w="70" w:type="dxa"/>
              <w:bottom w:w="70" w:type="dxa"/>
              <w:start w:w="90" w:type="dxa"/>
              <w:end w:w="90" w:type="dxa"/>
            </w:tcMar>
          </w:tcPr>
          <w:p>
            <w:pPr>
              <w:spacing w:after="0" w:line="252" w:lineRule="auto"/>
            </w:pPr>
            <w:r>
              <w:rPr>
                <w:rFonts w:ascii="Calibri" w:hAnsi="Calibri"/>
                <w:color w:val="0B1F1A"/>
                <w:sz w:val="16"/>
              </w:rPr>
              <w:t>0.60 – 1.00</w:t>
            </w:r>
          </w:p>
        </w:tc>
        <w:tc>
          <w:tcPr>
            <w:tcW w:type="dxa" w:w="2304"/>
            <w:tcMar>
              <w:top w:w="70" w:type="dxa"/>
              <w:bottom w:w="70" w:type="dxa"/>
              <w:start w:w="90" w:type="dxa"/>
              <w:end w:w="90" w:type="dxa"/>
            </w:tcMar>
          </w:tcPr>
          <w:p>
            <w:pPr>
              <w:spacing w:after="0" w:line="252" w:lineRule="auto"/>
            </w:pPr>
            <w:r>
              <w:rPr>
                <w:rFonts w:ascii="Calibri" w:hAnsi="Calibri"/>
                <w:color w:val="0B1F1A"/>
                <w:sz w:val="16"/>
              </w:rPr>
              <w:t>1,002</w:t>
            </w:r>
          </w:p>
        </w:tc>
        <w:tc>
          <w:tcPr>
            <w:tcW w:type="dxa" w:w="1872"/>
            <w:tcMar>
              <w:top w:w="70" w:type="dxa"/>
              <w:bottom w:w="70" w:type="dxa"/>
              <w:start w:w="90" w:type="dxa"/>
              <w:end w:w="90" w:type="dxa"/>
            </w:tcMar>
          </w:tcPr>
          <w:p>
            <w:pPr>
              <w:spacing w:after="0" w:line="252" w:lineRule="auto"/>
            </w:pPr>
            <w:r>
              <w:rPr>
                <w:rFonts w:ascii="Calibri" w:hAnsi="Calibri"/>
                <w:color w:val="0B1F1A"/>
                <w:sz w:val="16"/>
              </w:rPr>
              <w:t>14.2%</w:t>
            </w:r>
          </w:p>
        </w:tc>
      </w:tr>
    </w:tbl>
    <w:p>
      <w:pPr>
        <w:spacing w:after="40"/>
      </w:pPr>
    </w:p>
    <w:p>
      <w:pPr>
        <w:spacing w:after="140" w:line="307" w:lineRule="auto"/>
      </w:pPr>
      <w:r>
        <w:rPr>
          <w:i w:val="0"/>
        </w:rPr>
        <w:t>The low/medium boundary is the deployed decision threshold, so a customer is never both 'low risk' and 'predicted to churn'. The bands are stored in the model artifact and returned by the API.</w:t>
      </w:r>
    </w:p>
    <w:p>
      <w:pPr>
        <w:pStyle w:val="Heading2"/>
        <w:keepNext/>
        <w:spacing w:before="180" w:after="100"/>
      </w:pPr>
      <w:r>
        <w:t>9.1 Financial formulas</w:t>
      </w:r>
    </w:p>
    <w:tbl>
      <w:tblPr>
        <w:tblW w:type="auto" w:w="0"/>
        <w:jc w:val="center"/>
        <w:tblLook w:firstColumn="1" w:firstRow="1" w:lastColumn="0" w:lastRow="0" w:noHBand="0" w:noVBand="1" w:val="04A0"/>
        <w:tblBorders>
          <w:top w:val="single" w:sz="5" w:space="0" w:color="D2E6DC"/>
          <w:left w:val="single" w:sz="5" w:space="0" w:color="D2E6DC"/>
          <w:bottom w:val="single" w:sz="5" w:space="0" w:color="D2E6DC"/>
          <w:right w:val="single" w:sz="5" w:space="0" w:color="D2E6DC"/>
          <w:insideH w:val="single" w:sz="5" w:space="0" w:color="D2E6DC"/>
          <w:insideV w:val="single" w:sz="5" w:space="0" w:color="D2E6DC"/>
        </w:tblBorders>
      </w:tblPr>
      <w:tblGrid>
        <w:gridCol w:w="9638"/>
      </w:tblGrid>
      <w:tr>
        <w:tc>
          <w:tcPr>
            <w:tcW w:type="dxa" w:w="9638"/>
            <w:shd w:val="clear" w:color="auto" w:fill="F6F9F7"/>
            <w:tcMar>
              <w:top w:w="130" w:type="dxa"/>
              <w:bottom w:w="130" w:type="dxa"/>
              <w:start w:w="150" w:type="dxa"/>
              <w:end w:w="150" w:type="dxa"/>
            </w:tcMar>
          </w:tcPr>
          <w:p>
            <w:pPr>
              <w:spacing w:after="0" w:line="252" w:lineRule="auto"/>
            </w:pPr>
            <w:r>
              <w:rPr>
                <w:rFonts w:ascii="Consolas" w:hAnsi="Consolas"/>
                <w:color w:val="1B332B"/>
                <w:sz w:val="15"/>
              </w:rPr>
              <w:t>annual_revenue_at_risk = MonthlyCharges × 12 × P(churn)</w:t>
            </w:r>
          </w:p>
          <w:p>
            <w:pPr>
              <w:spacing w:after="0" w:line="252" w:lineRule="auto"/>
            </w:pPr>
            <w:r>
              <w:rPr>
                <w:rFonts w:ascii="Consolas" w:hAnsi="Consolas"/>
                <w:color w:val="1B332B"/>
                <w:sz w:val="15"/>
              </w:rPr>
              <w:t>expected_remaining_months = min(1 / P(churn), 72)</w:t>
            </w:r>
          </w:p>
          <w:p>
            <w:pPr>
              <w:spacing w:after="0" w:line="252" w:lineRule="auto"/>
            </w:pPr>
            <w:r>
              <w:rPr>
                <w:rFonts w:ascii="Consolas" w:hAnsi="Consolas"/>
                <w:color w:val="1B332B"/>
                <w:sz w:val="15"/>
              </w:rPr>
              <w:t>estimated_clv = MonthlyCharges × expected_remaining_months</w:t>
            </w:r>
          </w:p>
        </w:tc>
      </w:tr>
    </w:tbl>
    <w:p>
      <w:pPr>
        <w:spacing w:after="40"/>
      </w:pPr>
    </w:p>
    <w:p>
      <w:pPr>
        <w:spacing w:after="140" w:line="307" w:lineRule="auto"/>
      </w:pPr>
      <w:r>
        <w:rPr>
          <w:i w:val="0"/>
        </w:rPr>
        <w:t>This CLV is an expected-revenue upper bound for prioritisation, excluding margin and discounting. It is not an accounting figure. Probabilities are model outputs and are not separately calibrated; Brier score and a reliability diagram are reported for transparency.</w:t>
      </w:r>
    </w:p>
    <w:p>
      <w:r>
        <w:br w:type="page"/>
      </w:r>
    </w:p>
    <w:p>
      <w:pPr>
        <w:pStyle w:val="Heading1"/>
        <w:keepNext/>
        <w:spacing w:before="240" w:after="100"/>
      </w:pPr>
      <w:r>
        <w:t>10. Retention recommendation engine</w:t>
      </w:r>
    </w:p>
    <w:p>
      <w:pPr>
        <w:spacing w:after="140" w:line="307" w:lineRule="auto"/>
      </w:pPr>
      <w:r>
        <w:rPr>
          <w:i w:val="0"/>
        </w:rPr>
        <w:t>The engine combines model evidence with a curated retention playbook. It is deliberately rule-based so every suggestion is auditable. Priority scores combine risk band, whether the triggering feature is a top SHAP driver and rule-specific business value. They are heuristics, not causal uplift estimates.</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1928"/>
        <w:gridCol w:w="1928"/>
        <w:gridCol w:w="1928"/>
        <w:gridCol w:w="1928"/>
        <w:gridCol w:w="1928"/>
      </w:tblGrid>
      <w:tr>
        <w:trPr>
          <w:tblHeader w:val="true"/>
        </w:trPr>
        <w:tc>
          <w:tcPr>
            <w:tcW w:type="dxa" w:w="792"/>
            <w:shd w:val="clear" w:color="auto" w:fill="0B3B2E"/>
            <w:tcMar>
              <w:top w:w="70" w:type="dxa"/>
              <w:bottom w:w="70" w:type="dxa"/>
              <w:start w:w="90" w:type="dxa"/>
              <w:end w:w="90" w:type="dxa"/>
            </w:tcMar>
          </w:tcPr>
          <w:p>
            <w:pPr>
              <w:spacing w:after="0"/>
            </w:pPr>
            <w:r>
              <w:rPr>
                <w:rFonts w:ascii="Calibri" w:hAnsi="Calibri"/>
                <w:b/>
                <w:color w:val="FFFFFF"/>
                <w:sz w:val="15"/>
              </w:rPr>
              <w:t>ID</w:t>
            </w:r>
          </w:p>
        </w:tc>
        <w:tc>
          <w:tcPr>
            <w:tcW w:type="dxa" w:w="1944"/>
            <w:shd w:val="clear" w:color="auto" w:fill="0B3B2E"/>
            <w:tcMar>
              <w:top w:w="70" w:type="dxa"/>
              <w:bottom w:w="70" w:type="dxa"/>
              <w:start w:w="90" w:type="dxa"/>
              <w:end w:w="90" w:type="dxa"/>
            </w:tcMar>
          </w:tcPr>
          <w:p>
            <w:pPr>
              <w:spacing w:after="0"/>
            </w:pPr>
            <w:r>
              <w:rPr>
                <w:rFonts w:ascii="Calibri" w:hAnsi="Calibri"/>
                <w:b/>
                <w:color w:val="FFFFFF"/>
                <w:sz w:val="15"/>
              </w:rPr>
              <w:t>Trigger</w:t>
            </w:r>
          </w:p>
        </w:tc>
        <w:tc>
          <w:tcPr>
            <w:tcW w:type="dxa" w:w="3096"/>
            <w:shd w:val="clear" w:color="auto" w:fill="0B3B2E"/>
            <w:tcMar>
              <w:top w:w="70" w:type="dxa"/>
              <w:bottom w:w="70" w:type="dxa"/>
              <w:start w:w="90" w:type="dxa"/>
              <w:end w:w="90" w:type="dxa"/>
            </w:tcMar>
          </w:tcPr>
          <w:p>
            <w:pPr>
              <w:spacing w:after="0"/>
            </w:pPr>
            <w:r>
              <w:rPr>
                <w:rFonts w:ascii="Calibri" w:hAnsi="Calibri"/>
                <w:b/>
                <w:color w:val="FFFFFF"/>
                <w:sz w:val="15"/>
              </w:rPr>
              <w:t>Action</w:t>
            </w:r>
          </w:p>
        </w:tc>
        <w:tc>
          <w:tcPr>
            <w:tcW w:type="dxa" w:w="2520"/>
            <w:shd w:val="clear" w:color="auto" w:fill="0B3B2E"/>
            <w:tcMar>
              <w:top w:w="70" w:type="dxa"/>
              <w:bottom w:w="70" w:type="dxa"/>
              <w:start w:w="90" w:type="dxa"/>
              <w:end w:w="90" w:type="dxa"/>
            </w:tcMar>
          </w:tcPr>
          <w:p>
            <w:pPr>
              <w:spacing w:after="0"/>
            </w:pPr>
            <w:r>
              <w:rPr>
                <w:rFonts w:ascii="Calibri" w:hAnsi="Calibri"/>
                <w:b/>
                <w:color w:val="FFFFFF"/>
                <w:sz w:val="15"/>
              </w:rPr>
              <w:t>Offer</w:t>
            </w:r>
          </w:p>
        </w:tc>
        <w:tc>
          <w:tcPr>
            <w:tcW w:type="dxa" w:w="1224"/>
            <w:shd w:val="clear" w:color="auto" w:fill="0B3B2E"/>
            <w:tcMar>
              <w:top w:w="70" w:type="dxa"/>
              <w:bottom w:w="70" w:type="dxa"/>
              <w:start w:w="90" w:type="dxa"/>
              <w:end w:w="90" w:type="dxa"/>
            </w:tcMar>
          </w:tcPr>
          <w:p>
            <w:pPr>
              <w:spacing w:after="0"/>
            </w:pPr>
            <w:r>
              <w:rPr>
                <w:rFonts w:ascii="Calibri" w:hAnsi="Calibri"/>
                <w:b/>
                <w:color w:val="FFFFFF"/>
                <w:sz w:val="15"/>
              </w:rPr>
              <w:t>Category</w:t>
            </w:r>
          </w:p>
        </w:tc>
      </w:tr>
      <w:tr>
        <w:tc>
          <w:tcPr>
            <w:tcW w:type="dxa" w:w="792"/>
            <w:tcMar>
              <w:top w:w="70" w:type="dxa"/>
              <w:bottom w:w="70" w:type="dxa"/>
              <w:start w:w="90" w:type="dxa"/>
              <w:end w:w="90" w:type="dxa"/>
            </w:tcMar>
          </w:tcPr>
          <w:p>
            <w:pPr>
              <w:spacing w:after="0" w:line="252" w:lineRule="auto"/>
            </w:pPr>
            <w:r>
              <w:rPr>
                <w:rFonts w:ascii="Calibri" w:hAnsi="Calibri"/>
                <w:color w:val="0B1F1A"/>
                <w:sz w:val="15"/>
              </w:rPr>
              <w:t>RET-01</w:t>
            </w:r>
          </w:p>
        </w:tc>
        <w:tc>
          <w:tcPr>
            <w:tcW w:type="dxa" w:w="1944"/>
            <w:tcMar>
              <w:top w:w="70" w:type="dxa"/>
              <w:bottom w:w="70" w:type="dxa"/>
              <w:start w:w="90" w:type="dxa"/>
              <w:end w:w="90" w:type="dxa"/>
            </w:tcMar>
          </w:tcPr>
          <w:p>
            <w:pPr>
              <w:spacing w:after="0" w:line="252" w:lineRule="auto"/>
            </w:pPr>
            <w:r>
              <w:rPr>
                <w:rFonts w:ascii="Calibri" w:hAnsi="Calibri"/>
                <w:color w:val="0B1F1A"/>
                <w:sz w:val="15"/>
              </w:rPr>
              <w:t>Any scored customer</w:t>
            </w:r>
          </w:p>
        </w:tc>
        <w:tc>
          <w:tcPr>
            <w:tcW w:type="dxa" w:w="3096"/>
            <w:tcMar>
              <w:top w:w="70" w:type="dxa"/>
              <w:bottom w:w="70" w:type="dxa"/>
              <w:start w:w="90" w:type="dxa"/>
              <w:end w:w="90" w:type="dxa"/>
            </w:tcMar>
          </w:tcPr>
          <w:p>
            <w:pPr>
              <w:spacing w:after="0" w:line="252" w:lineRule="auto"/>
            </w:pPr>
            <w:r>
              <w:rPr>
                <w:rFonts w:ascii="Calibri" w:hAnsi="Calibri"/>
                <w:color w:val="0B1F1A"/>
                <w:sz w:val="15"/>
              </w:rPr>
              <w:t>Retention specialist call within 48 hours</w:t>
            </w:r>
          </w:p>
        </w:tc>
        <w:tc>
          <w:tcPr>
            <w:tcW w:type="dxa" w:w="2520"/>
            <w:tcMar>
              <w:top w:w="70" w:type="dxa"/>
              <w:bottom w:w="70" w:type="dxa"/>
              <w:start w:w="90" w:type="dxa"/>
              <w:end w:w="90" w:type="dxa"/>
            </w:tcMar>
          </w:tcPr>
          <w:p>
            <w:pPr>
              <w:spacing w:after="0" w:line="252" w:lineRule="auto"/>
            </w:pPr>
            <w:r>
              <w:rPr>
                <w:rFonts w:ascii="Calibri" w:hAnsi="Calibri"/>
                <w:color w:val="0B1F1A"/>
                <w:sz w:val="15"/>
              </w:rPr>
              <w:t>Dedicated specialist + service review</w:t>
            </w:r>
          </w:p>
        </w:tc>
        <w:tc>
          <w:tcPr>
            <w:tcW w:type="dxa" w:w="1224"/>
            <w:tcMar>
              <w:top w:w="70" w:type="dxa"/>
              <w:bottom w:w="70" w:type="dxa"/>
              <w:start w:w="90" w:type="dxa"/>
              <w:end w:w="90" w:type="dxa"/>
            </w:tcMar>
          </w:tcPr>
          <w:p>
            <w:pPr>
              <w:spacing w:after="0" w:line="252" w:lineRule="auto"/>
            </w:pPr>
            <w:r>
              <w:rPr>
                <w:rFonts w:ascii="Calibri" w:hAnsi="Calibri"/>
                <w:color w:val="0B1F1A"/>
                <w:sz w:val="15"/>
              </w:rPr>
              <w:t>Engagement</w:t>
            </w:r>
          </w:p>
        </w:tc>
      </w:tr>
      <w:tr>
        <w:tc>
          <w:tcPr>
            <w:tcW w:type="dxa" w:w="792"/>
            <w:tcMar>
              <w:top w:w="70" w:type="dxa"/>
              <w:bottom w:w="70" w:type="dxa"/>
              <w:start w:w="90" w:type="dxa"/>
              <w:end w:w="90" w:type="dxa"/>
            </w:tcMar>
            <w:shd w:val="clear" w:color="auto" w:fill="F5FAF8"/>
          </w:tcPr>
          <w:p>
            <w:pPr>
              <w:spacing w:after="0" w:line="252" w:lineRule="auto"/>
            </w:pPr>
            <w:r>
              <w:rPr>
                <w:rFonts w:ascii="Calibri" w:hAnsi="Calibri"/>
                <w:color w:val="0B1F1A"/>
                <w:sz w:val="15"/>
              </w:rPr>
              <w:t>RET-02</w:t>
            </w:r>
          </w:p>
        </w:tc>
        <w:tc>
          <w:tcPr>
            <w:tcW w:type="dxa" w:w="1944"/>
            <w:tcMar>
              <w:top w:w="70" w:type="dxa"/>
              <w:bottom w:w="70" w:type="dxa"/>
              <w:start w:w="90" w:type="dxa"/>
              <w:end w:w="90" w:type="dxa"/>
            </w:tcMar>
            <w:shd w:val="clear" w:color="auto" w:fill="F5FAF8"/>
          </w:tcPr>
          <w:p>
            <w:pPr>
              <w:spacing w:after="0" w:line="252" w:lineRule="auto"/>
            </w:pPr>
            <w:r>
              <w:rPr>
                <w:rFonts w:ascii="Calibri" w:hAnsi="Calibri"/>
                <w:color w:val="0B1F1A"/>
                <w:sz w:val="15"/>
              </w:rPr>
              <w:t>Month-to-month contract</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Offer a 12/24-month commitment plan</w:t>
            </w:r>
          </w:p>
        </w:tc>
        <w:tc>
          <w:tcPr>
            <w:tcW w:type="dxa" w:w="2520"/>
            <w:tcMar>
              <w:top w:w="70" w:type="dxa"/>
              <w:bottom w:w="70" w:type="dxa"/>
              <w:start w:w="90" w:type="dxa"/>
              <w:end w:w="90" w:type="dxa"/>
            </w:tcMar>
            <w:shd w:val="clear" w:color="auto" w:fill="F5FAF8"/>
          </w:tcPr>
          <w:p>
            <w:pPr>
              <w:spacing w:after="0" w:line="252" w:lineRule="auto"/>
            </w:pPr>
            <w:r>
              <w:rPr>
                <w:rFonts w:ascii="Calibri" w:hAnsi="Calibri"/>
                <w:color w:val="0B1F1A"/>
                <w:sz w:val="15"/>
              </w:rPr>
              <w:t>15–20% loyalty discount</w:t>
            </w:r>
          </w:p>
        </w:tc>
        <w:tc>
          <w:tcPr>
            <w:tcW w:type="dxa" w:w="1224"/>
            <w:tcMar>
              <w:top w:w="70" w:type="dxa"/>
              <w:bottom w:w="70" w:type="dxa"/>
              <w:start w:w="90" w:type="dxa"/>
              <w:end w:w="90" w:type="dxa"/>
            </w:tcMar>
            <w:shd w:val="clear" w:color="auto" w:fill="F5FAF8"/>
          </w:tcPr>
          <w:p>
            <w:pPr>
              <w:spacing w:after="0" w:line="252" w:lineRule="auto"/>
            </w:pPr>
            <w:r>
              <w:rPr>
                <w:rFonts w:ascii="Calibri" w:hAnsi="Calibri"/>
                <w:color w:val="0B1F1A"/>
                <w:sz w:val="15"/>
              </w:rPr>
              <w:t>Contract</w:t>
            </w:r>
          </w:p>
        </w:tc>
      </w:tr>
      <w:tr>
        <w:tc>
          <w:tcPr>
            <w:tcW w:type="dxa" w:w="792"/>
            <w:tcMar>
              <w:top w:w="70" w:type="dxa"/>
              <w:bottom w:w="70" w:type="dxa"/>
              <w:start w:w="90" w:type="dxa"/>
              <w:end w:w="90" w:type="dxa"/>
            </w:tcMar>
          </w:tcPr>
          <w:p>
            <w:pPr>
              <w:spacing w:after="0" w:line="252" w:lineRule="auto"/>
            </w:pPr>
            <w:r>
              <w:rPr>
                <w:rFonts w:ascii="Calibri" w:hAnsi="Calibri"/>
                <w:color w:val="0B1F1A"/>
                <w:sz w:val="15"/>
              </w:rPr>
              <w:t>RET-03</w:t>
            </w:r>
          </w:p>
        </w:tc>
        <w:tc>
          <w:tcPr>
            <w:tcW w:type="dxa" w:w="1944"/>
            <w:tcMar>
              <w:top w:w="70" w:type="dxa"/>
              <w:bottom w:w="70" w:type="dxa"/>
              <w:start w:w="90" w:type="dxa"/>
              <w:end w:w="90" w:type="dxa"/>
            </w:tcMar>
          </w:tcPr>
          <w:p>
            <w:pPr>
              <w:spacing w:after="0" w:line="252" w:lineRule="auto"/>
            </w:pPr>
            <w:r>
              <w:rPr>
                <w:rFonts w:ascii="Calibri" w:hAnsi="Calibri"/>
                <w:color w:val="0B1F1A"/>
                <w:sz w:val="15"/>
              </w:rPr>
              <w:t>Fiber optic + monthly ≥ $70</w:t>
            </w:r>
          </w:p>
        </w:tc>
        <w:tc>
          <w:tcPr>
            <w:tcW w:type="dxa" w:w="3096"/>
            <w:tcMar>
              <w:top w:w="70" w:type="dxa"/>
              <w:bottom w:w="70" w:type="dxa"/>
              <w:start w:w="90" w:type="dxa"/>
              <w:end w:w="90" w:type="dxa"/>
            </w:tcMar>
          </w:tcPr>
          <w:p>
            <w:pPr>
              <w:spacing w:after="0" w:line="252" w:lineRule="auto"/>
            </w:pPr>
            <w:r>
              <w:rPr>
                <w:rFonts w:ascii="Calibri" w:hAnsi="Calibri"/>
                <w:color w:val="0B1F1A"/>
                <w:sz w:val="15"/>
              </w:rPr>
              <w:t>Audit plan against usage; right-size the speed tier</w:t>
            </w:r>
          </w:p>
        </w:tc>
        <w:tc>
          <w:tcPr>
            <w:tcW w:type="dxa" w:w="2520"/>
            <w:tcMar>
              <w:top w:w="70" w:type="dxa"/>
              <w:bottom w:w="70" w:type="dxa"/>
              <w:start w:w="90" w:type="dxa"/>
              <w:end w:w="90" w:type="dxa"/>
            </w:tcMar>
          </w:tcPr>
          <w:p>
            <w:pPr>
              <w:spacing w:after="0" w:line="252" w:lineRule="auto"/>
            </w:pPr>
            <w:r>
              <w:rPr>
                <w:rFonts w:ascii="Calibri" w:hAnsi="Calibri"/>
                <w:color w:val="0B1F1A"/>
                <w:sz w:val="15"/>
              </w:rPr>
              <w:t>$10–20/month credit or cheaper tier</w:t>
            </w:r>
          </w:p>
        </w:tc>
        <w:tc>
          <w:tcPr>
            <w:tcW w:type="dxa" w:w="1224"/>
            <w:tcMar>
              <w:top w:w="70" w:type="dxa"/>
              <w:bottom w:w="70" w:type="dxa"/>
              <w:start w:w="90" w:type="dxa"/>
              <w:end w:w="90" w:type="dxa"/>
            </w:tcMar>
          </w:tcPr>
          <w:p>
            <w:pPr>
              <w:spacing w:after="0" w:line="252" w:lineRule="auto"/>
            </w:pPr>
            <w:r>
              <w:rPr>
                <w:rFonts w:ascii="Calibri" w:hAnsi="Calibri"/>
                <w:color w:val="0B1F1A"/>
                <w:sz w:val="15"/>
              </w:rPr>
              <w:t>Pricing</w:t>
            </w:r>
          </w:p>
        </w:tc>
      </w:tr>
      <w:tr>
        <w:tc>
          <w:tcPr>
            <w:tcW w:type="dxa" w:w="792"/>
            <w:tcMar>
              <w:top w:w="70" w:type="dxa"/>
              <w:bottom w:w="70" w:type="dxa"/>
              <w:start w:w="90" w:type="dxa"/>
              <w:end w:w="90" w:type="dxa"/>
            </w:tcMar>
            <w:shd w:val="clear" w:color="auto" w:fill="F5FAF8"/>
          </w:tcPr>
          <w:p>
            <w:pPr>
              <w:spacing w:after="0" w:line="252" w:lineRule="auto"/>
            </w:pPr>
            <w:r>
              <w:rPr>
                <w:rFonts w:ascii="Calibri" w:hAnsi="Calibri"/>
                <w:color w:val="0B1F1A"/>
                <w:sz w:val="15"/>
              </w:rPr>
              <w:t>RET-04</w:t>
            </w:r>
          </w:p>
        </w:tc>
        <w:tc>
          <w:tcPr>
            <w:tcW w:type="dxa" w:w="1944"/>
            <w:tcMar>
              <w:top w:w="70" w:type="dxa"/>
              <w:bottom w:w="70" w:type="dxa"/>
              <w:start w:w="90" w:type="dxa"/>
              <w:end w:w="90" w:type="dxa"/>
            </w:tcMar>
            <w:shd w:val="clear" w:color="auto" w:fill="F5FAF8"/>
          </w:tcPr>
          <w:p>
            <w:pPr>
              <w:spacing w:after="0" w:line="252" w:lineRule="auto"/>
            </w:pPr>
            <w:r>
              <w:rPr>
                <w:rFonts w:ascii="Calibri" w:hAnsi="Calibri"/>
                <w:color w:val="0B1F1A"/>
                <w:sz w:val="15"/>
              </w:rPr>
              <w:t>Electronic check</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Assisted switch to autopay</w:t>
            </w:r>
          </w:p>
        </w:tc>
        <w:tc>
          <w:tcPr>
            <w:tcW w:type="dxa" w:w="2520"/>
            <w:tcMar>
              <w:top w:w="70" w:type="dxa"/>
              <w:bottom w:w="70" w:type="dxa"/>
              <w:start w:w="90" w:type="dxa"/>
              <w:end w:w="90" w:type="dxa"/>
            </w:tcMar>
            <w:shd w:val="clear" w:color="auto" w:fill="F5FAF8"/>
          </w:tcPr>
          <w:p>
            <w:pPr>
              <w:spacing w:after="0" w:line="252" w:lineRule="auto"/>
            </w:pPr>
            <w:r>
              <w:rPr>
                <w:rFonts w:ascii="Calibri" w:hAnsi="Calibri"/>
                <w:color w:val="0B1F1A"/>
                <w:sz w:val="15"/>
              </w:rPr>
              <w:t>5% credit for 6 months</w:t>
            </w:r>
          </w:p>
        </w:tc>
        <w:tc>
          <w:tcPr>
            <w:tcW w:type="dxa" w:w="1224"/>
            <w:tcMar>
              <w:top w:w="70" w:type="dxa"/>
              <w:bottom w:w="70" w:type="dxa"/>
              <w:start w:w="90" w:type="dxa"/>
              <w:end w:w="90" w:type="dxa"/>
            </w:tcMar>
            <w:shd w:val="clear" w:color="auto" w:fill="F5FAF8"/>
          </w:tcPr>
          <w:p>
            <w:pPr>
              <w:spacing w:after="0" w:line="252" w:lineRule="auto"/>
            </w:pPr>
            <w:r>
              <w:rPr>
                <w:rFonts w:ascii="Calibri" w:hAnsi="Calibri"/>
                <w:color w:val="0B1F1A"/>
                <w:sz w:val="15"/>
              </w:rPr>
              <w:t>Payment</w:t>
            </w:r>
          </w:p>
        </w:tc>
      </w:tr>
      <w:tr>
        <w:tc>
          <w:tcPr>
            <w:tcW w:type="dxa" w:w="792"/>
            <w:tcMar>
              <w:top w:w="70" w:type="dxa"/>
              <w:bottom w:w="70" w:type="dxa"/>
              <w:start w:w="90" w:type="dxa"/>
              <w:end w:w="90" w:type="dxa"/>
            </w:tcMar>
          </w:tcPr>
          <w:p>
            <w:pPr>
              <w:spacing w:after="0" w:line="252" w:lineRule="auto"/>
            </w:pPr>
            <w:r>
              <w:rPr>
                <w:rFonts w:ascii="Calibri" w:hAnsi="Calibri"/>
                <w:color w:val="0B1F1A"/>
                <w:sz w:val="15"/>
              </w:rPr>
              <w:t>RET-05</w:t>
            </w:r>
          </w:p>
        </w:tc>
        <w:tc>
          <w:tcPr>
            <w:tcW w:type="dxa" w:w="1944"/>
            <w:tcMar>
              <w:top w:w="70" w:type="dxa"/>
              <w:bottom w:w="70" w:type="dxa"/>
              <w:start w:w="90" w:type="dxa"/>
              <w:end w:w="90" w:type="dxa"/>
            </w:tcMar>
          </w:tcPr>
          <w:p>
            <w:pPr>
              <w:spacing w:after="0" w:line="252" w:lineRule="auto"/>
            </w:pPr>
            <w:r>
              <w:rPr>
                <w:rFonts w:ascii="Calibri" w:hAnsi="Calibri"/>
                <w:color w:val="0B1F1A"/>
                <w:sz w:val="15"/>
              </w:rPr>
              <w:t>No tech support (internet customer)</w:t>
            </w:r>
          </w:p>
        </w:tc>
        <w:tc>
          <w:tcPr>
            <w:tcW w:type="dxa" w:w="3096"/>
            <w:tcMar>
              <w:top w:w="70" w:type="dxa"/>
              <w:bottom w:w="70" w:type="dxa"/>
              <w:start w:w="90" w:type="dxa"/>
              <w:end w:w="90" w:type="dxa"/>
            </w:tcMar>
          </w:tcPr>
          <w:p>
            <w:pPr>
              <w:spacing w:after="0" w:line="252" w:lineRule="auto"/>
            </w:pPr>
            <w:r>
              <w:rPr>
                <w:rFonts w:ascii="Calibri" w:hAnsi="Calibri"/>
                <w:color w:val="0B1F1A"/>
                <w:sz w:val="15"/>
              </w:rPr>
              <w:t>Enable TechSupport and book a setup call</w:t>
            </w:r>
          </w:p>
        </w:tc>
        <w:tc>
          <w:tcPr>
            <w:tcW w:type="dxa" w:w="2520"/>
            <w:tcMar>
              <w:top w:w="70" w:type="dxa"/>
              <w:bottom w:w="70" w:type="dxa"/>
              <w:start w:w="90" w:type="dxa"/>
              <w:end w:w="90" w:type="dxa"/>
            </w:tcMar>
          </w:tcPr>
          <w:p>
            <w:pPr>
              <w:spacing w:after="0" w:line="252" w:lineRule="auto"/>
            </w:pPr>
            <w:r>
              <w:rPr>
                <w:rFonts w:ascii="Calibri" w:hAnsi="Calibri"/>
                <w:color w:val="0B1F1A"/>
                <w:sz w:val="15"/>
              </w:rPr>
              <w:t>3 months free TechSupport</w:t>
            </w:r>
          </w:p>
        </w:tc>
        <w:tc>
          <w:tcPr>
            <w:tcW w:type="dxa" w:w="1224"/>
            <w:tcMar>
              <w:top w:w="70" w:type="dxa"/>
              <w:bottom w:w="70" w:type="dxa"/>
              <w:start w:w="90" w:type="dxa"/>
              <w:end w:w="90" w:type="dxa"/>
            </w:tcMar>
          </w:tcPr>
          <w:p>
            <w:pPr>
              <w:spacing w:after="0" w:line="252" w:lineRule="auto"/>
            </w:pPr>
            <w:r>
              <w:rPr>
                <w:rFonts w:ascii="Calibri" w:hAnsi="Calibri"/>
                <w:color w:val="0B1F1A"/>
                <w:sz w:val="15"/>
              </w:rPr>
              <w:t>Service</w:t>
            </w:r>
          </w:p>
        </w:tc>
      </w:tr>
      <w:tr>
        <w:tc>
          <w:tcPr>
            <w:tcW w:type="dxa" w:w="792"/>
            <w:tcMar>
              <w:top w:w="70" w:type="dxa"/>
              <w:bottom w:w="70" w:type="dxa"/>
              <w:start w:w="90" w:type="dxa"/>
              <w:end w:w="90" w:type="dxa"/>
            </w:tcMar>
            <w:shd w:val="clear" w:color="auto" w:fill="F5FAF8"/>
          </w:tcPr>
          <w:p>
            <w:pPr>
              <w:spacing w:after="0" w:line="252" w:lineRule="auto"/>
            </w:pPr>
            <w:r>
              <w:rPr>
                <w:rFonts w:ascii="Calibri" w:hAnsi="Calibri"/>
                <w:color w:val="0B1F1A"/>
                <w:sz w:val="15"/>
              </w:rPr>
              <w:t>RET-06</w:t>
            </w:r>
          </w:p>
        </w:tc>
        <w:tc>
          <w:tcPr>
            <w:tcW w:type="dxa" w:w="1944"/>
            <w:tcMar>
              <w:top w:w="70" w:type="dxa"/>
              <w:bottom w:w="70" w:type="dxa"/>
              <w:start w:w="90" w:type="dxa"/>
              <w:end w:w="90" w:type="dxa"/>
            </w:tcMar>
            <w:shd w:val="clear" w:color="auto" w:fill="F5FAF8"/>
          </w:tcPr>
          <w:p>
            <w:pPr>
              <w:spacing w:after="0" w:line="252" w:lineRule="auto"/>
            </w:pPr>
            <w:r>
              <w:rPr>
                <w:rFonts w:ascii="Calibri" w:hAnsi="Calibri"/>
                <w:color w:val="0B1F1A"/>
                <w:sz w:val="15"/>
              </w:rPr>
              <w:t>No online security</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Add OnlineSecurity and guide activation</w:t>
            </w:r>
          </w:p>
        </w:tc>
        <w:tc>
          <w:tcPr>
            <w:tcW w:type="dxa" w:w="2520"/>
            <w:tcMar>
              <w:top w:w="70" w:type="dxa"/>
              <w:bottom w:w="70" w:type="dxa"/>
              <w:start w:w="90" w:type="dxa"/>
              <w:end w:w="90" w:type="dxa"/>
            </w:tcMar>
            <w:shd w:val="clear" w:color="auto" w:fill="F5FAF8"/>
          </w:tcPr>
          <w:p>
            <w:pPr>
              <w:spacing w:after="0" w:line="252" w:lineRule="auto"/>
            </w:pPr>
            <w:r>
              <w:rPr>
                <w:rFonts w:ascii="Calibri" w:hAnsi="Calibri"/>
                <w:color w:val="0B1F1A"/>
                <w:sz w:val="15"/>
              </w:rPr>
              <w:t>3 months free, then bundled rate</w:t>
            </w:r>
          </w:p>
        </w:tc>
        <w:tc>
          <w:tcPr>
            <w:tcW w:type="dxa" w:w="1224"/>
            <w:tcMar>
              <w:top w:w="70" w:type="dxa"/>
              <w:bottom w:w="70" w:type="dxa"/>
              <w:start w:w="90" w:type="dxa"/>
              <w:end w:w="90" w:type="dxa"/>
            </w:tcMar>
            <w:shd w:val="clear" w:color="auto" w:fill="F5FAF8"/>
          </w:tcPr>
          <w:p>
            <w:pPr>
              <w:spacing w:after="0" w:line="252" w:lineRule="auto"/>
            </w:pPr>
            <w:r>
              <w:rPr>
                <w:rFonts w:ascii="Calibri" w:hAnsi="Calibri"/>
                <w:color w:val="0B1F1A"/>
                <w:sz w:val="15"/>
              </w:rPr>
              <w:t>Service</w:t>
            </w:r>
          </w:p>
        </w:tc>
      </w:tr>
      <w:tr>
        <w:tc>
          <w:tcPr>
            <w:tcW w:type="dxa" w:w="792"/>
            <w:tcMar>
              <w:top w:w="70" w:type="dxa"/>
              <w:bottom w:w="70" w:type="dxa"/>
              <w:start w:w="90" w:type="dxa"/>
              <w:end w:w="90" w:type="dxa"/>
            </w:tcMar>
          </w:tcPr>
          <w:p>
            <w:pPr>
              <w:spacing w:after="0" w:line="252" w:lineRule="auto"/>
            </w:pPr>
            <w:r>
              <w:rPr>
                <w:rFonts w:ascii="Calibri" w:hAnsi="Calibri"/>
                <w:color w:val="0B1F1A"/>
                <w:sz w:val="15"/>
              </w:rPr>
              <w:t>RET-07</w:t>
            </w:r>
          </w:p>
        </w:tc>
        <w:tc>
          <w:tcPr>
            <w:tcW w:type="dxa" w:w="1944"/>
            <w:tcMar>
              <w:top w:w="70" w:type="dxa"/>
              <w:bottom w:w="70" w:type="dxa"/>
              <w:start w:w="90" w:type="dxa"/>
              <w:end w:w="90" w:type="dxa"/>
            </w:tcMar>
          </w:tcPr>
          <w:p>
            <w:pPr>
              <w:spacing w:after="0" w:line="252" w:lineRule="auto"/>
            </w:pPr>
            <w:r>
              <w:rPr>
                <w:rFonts w:ascii="Calibri" w:hAnsi="Calibri"/>
                <w:color w:val="0B1F1A"/>
                <w:sz w:val="15"/>
              </w:rPr>
              <w:t>Tenure ≤ 6 months</w:t>
            </w:r>
          </w:p>
        </w:tc>
        <w:tc>
          <w:tcPr>
            <w:tcW w:type="dxa" w:w="3096"/>
            <w:tcMar>
              <w:top w:w="70" w:type="dxa"/>
              <w:bottom w:w="70" w:type="dxa"/>
              <w:start w:w="90" w:type="dxa"/>
              <w:end w:w="90" w:type="dxa"/>
            </w:tcMar>
          </w:tcPr>
          <w:p>
            <w:pPr>
              <w:spacing w:after="0" w:line="252" w:lineRule="auto"/>
            </w:pPr>
            <w:r>
              <w:rPr>
                <w:rFonts w:ascii="Calibri" w:hAnsi="Calibri"/>
                <w:color w:val="0B1F1A"/>
                <w:sz w:val="15"/>
              </w:rPr>
              <w:t>Welcome call day 7, check-in day 30</w:t>
            </w:r>
          </w:p>
        </w:tc>
        <w:tc>
          <w:tcPr>
            <w:tcW w:type="dxa" w:w="2520"/>
            <w:tcMar>
              <w:top w:w="70" w:type="dxa"/>
              <w:bottom w:w="70" w:type="dxa"/>
              <w:start w:w="90" w:type="dxa"/>
              <w:end w:w="90" w:type="dxa"/>
            </w:tcMar>
          </w:tcPr>
          <w:p>
            <w:pPr>
              <w:spacing w:after="0" w:line="252" w:lineRule="auto"/>
            </w:pPr>
            <w:r>
              <w:rPr>
                <w:rFonts w:ascii="Calibri" w:hAnsi="Calibri"/>
                <w:color w:val="0B1F1A"/>
                <w:sz w:val="15"/>
              </w:rPr>
              <w:t>Onboarding concierge</w:t>
            </w:r>
          </w:p>
        </w:tc>
        <w:tc>
          <w:tcPr>
            <w:tcW w:type="dxa" w:w="1224"/>
            <w:tcMar>
              <w:top w:w="70" w:type="dxa"/>
              <w:bottom w:w="70" w:type="dxa"/>
              <w:start w:w="90" w:type="dxa"/>
              <w:end w:w="90" w:type="dxa"/>
            </w:tcMar>
          </w:tcPr>
          <w:p>
            <w:pPr>
              <w:spacing w:after="0" w:line="252" w:lineRule="auto"/>
            </w:pPr>
            <w:r>
              <w:rPr>
                <w:rFonts w:ascii="Calibri" w:hAnsi="Calibri"/>
                <w:color w:val="0B1F1A"/>
                <w:sz w:val="15"/>
              </w:rPr>
              <w:t>Engagement</w:t>
            </w:r>
          </w:p>
        </w:tc>
      </w:tr>
      <w:tr>
        <w:tc>
          <w:tcPr>
            <w:tcW w:type="dxa" w:w="792"/>
            <w:tcMar>
              <w:top w:w="70" w:type="dxa"/>
              <w:bottom w:w="70" w:type="dxa"/>
              <w:start w:w="90" w:type="dxa"/>
              <w:end w:w="90" w:type="dxa"/>
            </w:tcMar>
            <w:shd w:val="clear" w:color="auto" w:fill="F5FAF8"/>
          </w:tcPr>
          <w:p>
            <w:pPr>
              <w:spacing w:after="0" w:line="252" w:lineRule="auto"/>
            </w:pPr>
            <w:r>
              <w:rPr>
                <w:rFonts w:ascii="Calibri" w:hAnsi="Calibri"/>
                <w:color w:val="0B1F1A"/>
                <w:sz w:val="15"/>
              </w:rPr>
              <w:t>RET-08</w:t>
            </w:r>
          </w:p>
        </w:tc>
        <w:tc>
          <w:tcPr>
            <w:tcW w:type="dxa" w:w="1944"/>
            <w:tcMar>
              <w:top w:w="70" w:type="dxa"/>
              <w:bottom w:w="70" w:type="dxa"/>
              <w:start w:w="90" w:type="dxa"/>
              <w:end w:w="90" w:type="dxa"/>
            </w:tcMar>
            <w:shd w:val="clear" w:color="auto" w:fill="F5FAF8"/>
          </w:tcPr>
          <w:p>
            <w:pPr>
              <w:spacing w:after="0" w:line="252" w:lineRule="auto"/>
            </w:pPr>
            <w:r>
              <w:rPr>
                <w:rFonts w:ascii="Calibri" w:hAnsi="Calibri"/>
                <w:color w:val="0B1F1A"/>
                <w:sz w:val="15"/>
              </w:rPr>
              <w:t>Tenure ≥ 24 months</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Loyalty pricing review, named account contact</w:t>
            </w:r>
          </w:p>
        </w:tc>
        <w:tc>
          <w:tcPr>
            <w:tcW w:type="dxa" w:w="2520"/>
            <w:tcMar>
              <w:top w:w="70" w:type="dxa"/>
              <w:bottom w:w="70" w:type="dxa"/>
              <w:start w:w="90" w:type="dxa"/>
              <w:end w:w="90" w:type="dxa"/>
            </w:tcMar>
            <w:shd w:val="clear" w:color="auto" w:fill="F5FAF8"/>
          </w:tcPr>
          <w:p>
            <w:pPr>
              <w:spacing w:after="0" w:line="252" w:lineRule="auto"/>
            </w:pPr>
            <w:r>
              <w:rPr>
                <w:rFonts w:ascii="Calibri" w:hAnsi="Calibri"/>
                <w:color w:val="0B1F1A"/>
                <w:sz w:val="15"/>
              </w:rPr>
              <w:t>Loyalty price + account manager</w:t>
            </w:r>
          </w:p>
        </w:tc>
        <w:tc>
          <w:tcPr>
            <w:tcW w:type="dxa" w:w="1224"/>
            <w:tcMar>
              <w:top w:w="70" w:type="dxa"/>
              <w:bottom w:w="70" w:type="dxa"/>
              <w:start w:w="90" w:type="dxa"/>
              <w:end w:w="90" w:type="dxa"/>
            </w:tcMar>
            <w:shd w:val="clear" w:color="auto" w:fill="F5FAF8"/>
          </w:tcPr>
          <w:p>
            <w:pPr>
              <w:spacing w:after="0" w:line="252" w:lineRule="auto"/>
            </w:pPr>
            <w:r>
              <w:rPr>
                <w:rFonts w:ascii="Calibri" w:hAnsi="Calibri"/>
                <w:color w:val="0B1F1A"/>
                <w:sz w:val="15"/>
              </w:rPr>
              <w:t>Loyalty</w:t>
            </w:r>
          </w:p>
        </w:tc>
      </w:tr>
      <w:tr>
        <w:tc>
          <w:tcPr>
            <w:tcW w:type="dxa" w:w="792"/>
            <w:tcMar>
              <w:top w:w="70" w:type="dxa"/>
              <w:bottom w:w="70" w:type="dxa"/>
              <w:start w:w="90" w:type="dxa"/>
              <w:end w:w="90" w:type="dxa"/>
            </w:tcMar>
          </w:tcPr>
          <w:p>
            <w:pPr>
              <w:spacing w:after="0" w:line="252" w:lineRule="auto"/>
            </w:pPr>
            <w:r>
              <w:rPr>
                <w:rFonts w:ascii="Calibri" w:hAnsi="Calibri"/>
                <w:color w:val="0B1F1A"/>
                <w:sz w:val="15"/>
              </w:rPr>
              <w:t>RET-09</w:t>
            </w:r>
          </w:p>
        </w:tc>
        <w:tc>
          <w:tcPr>
            <w:tcW w:type="dxa" w:w="1944"/>
            <w:tcMar>
              <w:top w:w="70" w:type="dxa"/>
              <w:bottom w:w="70" w:type="dxa"/>
              <w:start w:w="90" w:type="dxa"/>
              <w:end w:w="90" w:type="dxa"/>
            </w:tcMar>
          </w:tcPr>
          <w:p>
            <w:pPr>
              <w:spacing w:after="0" w:line="252" w:lineRule="auto"/>
            </w:pPr>
            <w:r>
              <w:rPr>
                <w:rFonts w:ascii="Calibri" w:hAnsi="Calibri"/>
                <w:color w:val="0B1F1A"/>
                <w:sz w:val="15"/>
              </w:rPr>
              <w:t>Senior citizen</w:t>
            </w:r>
          </w:p>
        </w:tc>
        <w:tc>
          <w:tcPr>
            <w:tcW w:type="dxa" w:w="3096"/>
            <w:tcMar>
              <w:top w:w="70" w:type="dxa"/>
              <w:bottom w:w="70" w:type="dxa"/>
              <w:start w:w="90" w:type="dxa"/>
              <w:end w:w="90" w:type="dxa"/>
            </w:tcMar>
          </w:tcPr>
          <w:p>
            <w:pPr>
              <w:spacing w:after="0" w:line="252" w:lineRule="auto"/>
            </w:pPr>
            <w:r>
              <w:rPr>
                <w:rFonts w:ascii="Calibri" w:hAnsi="Calibri"/>
                <w:color w:val="0B1F1A"/>
                <w:sz w:val="15"/>
              </w:rPr>
              <w:t>Register for priority human support</w:t>
            </w:r>
          </w:p>
        </w:tc>
        <w:tc>
          <w:tcPr>
            <w:tcW w:type="dxa" w:w="2520"/>
            <w:tcMar>
              <w:top w:w="70" w:type="dxa"/>
              <w:bottom w:w="70" w:type="dxa"/>
              <w:start w:w="90" w:type="dxa"/>
              <w:end w:w="90" w:type="dxa"/>
            </w:tcMar>
          </w:tcPr>
          <w:p>
            <w:pPr>
              <w:spacing w:after="0" w:line="252" w:lineRule="auto"/>
            </w:pPr>
            <w:r>
              <w:rPr>
                <w:rFonts w:ascii="Calibri" w:hAnsi="Calibri"/>
                <w:color w:val="0B1F1A"/>
                <w:sz w:val="15"/>
              </w:rPr>
              <w:t>Priority line + simplified billing</w:t>
            </w:r>
          </w:p>
        </w:tc>
        <w:tc>
          <w:tcPr>
            <w:tcW w:type="dxa" w:w="1224"/>
            <w:tcMar>
              <w:top w:w="70" w:type="dxa"/>
              <w:bottom w:w="70" w:type="dxa"/>
              <w:start w:w="90" w:type="dxa"/>
              <w:end w:w="90" w:type="dxa"/>
            </w:tcMar>
          </w:tcPr>
          <w:p>
            <w:pPr>
              <w:spacing w:after="0" w:line="252" w:lineRule="auto"/>
            </w:pPr>
            <w:r>
              <w:rPr>
                <w:rFonts w:ascii="Calibri" w:hAnsi="Calibri"/>
                <w:color w:val="0B1F1A"/>
                <w:sz w:val="15"/>
              </w:rPr>
              <w:t>Service</w:t>
            </w:r>
          </w:p>
        </w:tc>
      </w:tr>
      <w:tr>
        <w:tc>
          <w:tcPr>
            <w:tcW w:type="dxa" w:w="792"/>
            <w:tcMar>
              <w:top w:w="70" w:type="dxa"/>
              <w:bottom w:w="70" w:type="dxa"/>
              <w:start w:w="90" w:type="dxa"/>
              <w:end w:w="90" w:type="dxa"/>
            </w:tcMar>
            <w:shd w:val="clear" w:color="auto" w:fill="F5FAF8"/>
          </w:tcPr>
          <w:p>
            <w:pPr>
              <w:spacing w:after="0" w:line="252" w:lineRule="auto"/>
            </w:pPr>
            <w:r>
              <w:rPr>
                <w:rFonts w:ascii="Calibri" w:hAnsi="Calibri"/>
                <w:color w:val="0B1F1A"/>
                <w:sz w:val="15"/>
              </w:rPr>
              <w:t>RET-10</w:t>
            </w:r>
          </w:p>
        </w:tc>
        <w:tc>
          <w:tcPr>
            <w:tcW w:type="dxa" w:w="1944"/>
            <w:tcMar>
              <w:top w:w="70" w:type="dxa"/>
              <w:bottom w:w="70" w:type="dxa"/>
              <w:start w:w="90" w:type="dxa"/>
              <w:end w:w="90" w:type="dxa"/>
            </w:tcMar>
            <w:shd w:val="clear" w:color="auto" w:fill="F5FAF8"/>
          </w:tcPr>
          <w:p>
            <w:pPr>
              <w:spacing w:after="0" w:line="252" w:lineRule="auto"/>
            </w:pPr>
            <w:r>
              <w:rPr>
                <w:rFonts w:ascii="Calibri" w:hAnsi="Calibri"/>
                <w:color w:val="0B1F1A"/>
                <w:sz w:val="15"/>
              </w:rPr>
              <w:t>Paperless billing ≥ $75</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Itemised bill review, paper option</w:t>
            </w:r>
          </w:p>
        </w:tc>
        <w:tc>
          <w:tcPr>
            <w:tcW w:type="dxa" w:w="2520"/>
            <w:tcMar>
              <w:top w:w="70" w:type="dxa"/>
              <w:bottom w:w="70" w:type="dxa"/>
              <w:start w:w="90" w:type="dxa"/>
              <w:end w:w="90" w:type="dxa"/>
            </w:tcMar>
            <w:shd w:val="clear" w:color="auto" w:fill="F5FAF8"/>
          </w:tcPr>
          <w:p>
            <w:pPr>
              <w:spacing w:after="0" w:line="252" w:lineRule="auto"/>
            </w:pPr>
            <w:r>
              <w:rPr>
                <w:rFonts w:ascii="Calibri" w:hAnsi="Calibri"/>
                <w:color w:val="0B1F1A"/>
                <w:sz w:val="15"/>
              </w:rPr>
              <w:t>Bill audit + one-time $10 credit</w:t>
            </w:r>
          </w:p>
        </w:tc>
        <w:tc>
          <w:tcPr>
            <w:tcW w:type="dxa" w:w="1224"/>
            <w:tcMar>
              <w:top w:w="70" w:type="dxa"/>
              <w:bottom w:w="70" w:type="dxa"/>
              <w:start w:w="90" w:type="dxa"/>
              <w:end w:w="90" w:type="dxa"/>
            </w:tcMar>
            <w:shd w:val="clear" w:color="auto" w:fill="F5FAF8"/>
          </w:tcPr>
          <w:p>
            <w:pPr>
              <w:spacing w:after="0" w:line="252" w:lineRule="auto"/>
            </w:pPr>
            <w:r>
              <w:rPr>
                <w:rFonts w:ascii="Calibri" w:hAnsi="Calibri"/>
                <w:color w:val="0B1F1A"/>
                <w:sz w:val="15"/>
              </w:rPr>
              <w:t>Billing</w:t>
            </w:r>
          </w:p>
        </w:tc>
      </w:tr>
      <w:tr>
        <w:tc>
          <w:tcPr>
            <w:tcW w:type="dxa" w:w="792"/>
            <w:tcMar>
              <w:top w:w="70" w:type="dxa"/>
              <w:bottom w:w="70" w:type="dxa"/>
              <w:start w:w="90" w:type="dxa"/>
              <w:end w:w="90" w:type="dxa"/>
            </w:tcMar>
          </w:tcPr>
          <w:p>
            <w:pPr>
              <w:spacing w:after="0" w:line="252" w:lineRule="auto"/>
            </w:pPr>
            <w:r>
              <w:rPr>
                <w:rFonts w:ascii="Calibri" w:hAnsi="Calibri"/>
                <w:color w:val="0B1F1A"/>
                <w:sz w:val="15"/>
              </w:rPr>
              <w:t>RET-11</w:t>
            </w:r>
          </w:p>
        </w:tc>
        <w:tc>
          <w:tcPr>
            <w:tcW w:type="dxa" w:w="1944"/>
            <w:tcMar>
              <w:top w:w="70" w:type="dxa"/>
              <w:bottom w:w="70" w:type="dxa"/>
              <w:start w:w="90" w:type="dxa"/>
              <w:end w:w="90" w:type="dxa"/>
            </w:tcMar>
          </w:tcPr>
          <w:p>
            <w:pPr>
              <w:spacing w:after="0" w:line="252" w:lineRule="auto"/>
            </w:pPr>
            <w:r>
              <w:rPr>
                <w:rFonts w:ascii="Calibri" w:hAnsi="Calibri"/>
                <w:color w:val="0B1F1A"/>
                <w:sz w:val="15"/>
              </w:rPr>
              <w:t>Both streaming add-ons ≥ $80 bill</w:t>
            </w:r>
          </w:p>
        </w:tc>
        <w:tc>
          <w:tcPr>
            <w:tcW w:type="dxa" w:w="3096"/>
            <w:tcMar>
              <w:top w:w="70" w:type="dxa"/>
              <w:bottom w:w="70" w:type="dxa"/>
              <w:start w:w="90" w:type="dxa"/>
              <w:end w:w="90" w:type="dxa"/>
            </w:tcMar>
          </w:tcPr>
          <w:p>
            <w:pPr>
              <w:spacing w:after="0" w:line="252" w:lineRule="auto"/>
            </w:pPr>
            <w:r>
              <w:rPr>
                <w:rFonts w:ascii="Calibri" w:hAnsi="Calibri"/>
                <w:color w:val="0B1F1A"/>
                <w:sz w:val="15"/>
              </w:rPr>
              <w:t>Package both streaming services</w:t>
            </w:r>
          </w:p>
        </w:tc>
        <w:tc>
          <w:tcPr>
            <w:tcW w:type="dxa" w:w="2520"/>
            <w:tcMar>
              <w:top w:w="70" w:type="dxa"/>
              <w:bottom w:w="70" w:type="dxa"/>
              <w:start w:w="90" w:type="dxa"/>
              <w:end w:w="90" w:type="dxa"/>
            </w:tcMar>
          </w:tcPr>
          <w:p>
            <w:pPr>
              <w:spacing w:after="0" w:line="252" w:lineRule="auto"/>
            </w:pPr>
            <w:r>
              <w:rPr>
                <w:rFonts w:ascii="Calibri" w:hAnsi="Calibri"/>
                <w:color w:val="0B1F1A"/>
                <w:sz w:val="15"/>
              </w:rPr>
              <w:t>Bundle discount</w:t>
            </w:r>
          </w:p>
        </w:tc>
        <w:tc>
          <w:tcPr>
            <w:tcW w:type="dxa" w:w="1224"/>
            <w:tcMar>
              <w:top w:w="70" w:type="dxa"/>
              <w:bottom w:w="70" w:type="dxa"/>
              <w:start w:w="90" w:type="dxa"/>
              <w:end w:w="90" w:type="dxa"/>
            </w:tcMar>
          </w:tcPr>
          <w:p>
            <w:pPr>
              <w:spacing w:after="0" w:line="252" w:lineRule="auto"/>
            </w:pPr>
            <w:r>
              <w:rPr>
                <w:rFonts w:ascii="Calibri" w:hAnsi="Calibri"/>
                <w:color w:val="0B1F1A"/>
                <w:sz w:val="15"/>
              </w:rPr>
              <w:t>Pricing</w:t>
            </w:r>
          </w:p>
        </w:tc>
      </w:tr>
      <w:tr>
        <w:tc>
          <w:tcPr>
            <w:tcW w:type="dxa" w:w="792"/>
            <w:tcMar>
              <w:top w:w="70" w:type="dxa"/>
              <w:bottom w:w="70" w:type="dxa"/>
              <w:start w:w="90" w:type="dxa"/>
              <w:end w:w="90" w:type="dxa"/>
            </w:tcMar>
            <w:shd w:val="clear" w:color="auto" w:fill="F5FAF8"/>
          </w:tcPr>
          <w:p>
            <w:pPr>
              <w:spacing w:after="0" w:line="252" w:lineRule="auto"/>
            </w:pPr>
            <w:r>
              <w:rPr>
                <w:rFonts w:ascii="Calibri" w:hAnsi="Calibri"/>
                <w:color w:val="0B1F1A"/>
                <w:sz w:val="15"/>
              </w:rPr>
              <w:t>RET-12</w:t>
            </w:r>
          </w:p>
        </w:tc>
        <w:tc>
          <w:tcPr>
            <w:tcW w:type="dxa" w:w="1944"/>
            <w:tcMar>
              <w:top w:w="70" w:type="dxa"/>
              <w:bottom w:w="70" w:type="dxa"/>
              <w:start w:w="90" w:type="dxa"/>
              <w:end w:w="90" w:type="dxa"/>
            </w:tcMar>
            <w:shd w:val="clear" w:color="auto" w:fill="F5FAF8"/>
          </w:tcPr>
          <w:p>
            <w:pPr>
              <w:spacing w:after="0" w:line="252" w:lineRule="auto"/>
            </w:pPr>
            <w:r>
              <w:rPr>
                <w:rFonts w:ascii="Calibri" w:hAnsi="Calibri"/>
                <w:color w:val="0B1F1A"/>
                <w:sz w:val="15"/>
              </w:rPr>
              <w:t>No device protection (&gt; 6 months)</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Offer a DeviceProtection trial</w:t>
            </w:r>
          </w:p>
        </w:tc>
        <w:tc>
          <w:tcPr>
            <w:tcW w:type="dxa" w:w="2520"/>
            <w:tcMar>
              <w:top w:w="70" w:type="dxa"/>
              <w:bottom w:w="70" w:type="dxa"/>
              <w:start w:w="90" w:type="dxa"/>
              <w:end w:w="90" w:type="dxa"/>
            </w:tcMar>
            <w:shd w:val="clear" w:color="auto" w:fill="F5FAF8"/>
          </w:tcPr>
          <w:p>
            <w:pPr>
              <w:spacing w:after="0" w:line="252" w:lineRule="auto"/>
            </w:pPr>
            <w:r>
              <w:rPr>
                <w:rFonts w:ascii="Calibri" w:hAnsi="Calibri"/>
                <w:color w:val="0B1F1A"/>
                <w:sz w:val="15"/>
              </w:rPr>
              <w:t>6 months free</w:t>
            </w:r>
          </w:p>
        </w:tc>
        <w:tc>
          <w:tcPr>
            <w:tcW w:type="dxa" w:w="1224"/>
            <w:tcMar>
              <w:top w:w="70" w:type="dxa"/>
              <w:bottom w:w="70" w:type="dxa"/>
              <w:start w:w="90" w:type="dxa"/>
              <w:end w:w="90" w:type="dxa"/>
            </w:tcMar>
            <w:shd w:val="clear" w:color="auto" w:fill="F5FAF8"/>
          </w:tcPr>
          <w:p>
            <w:pPr>
              <w:spacing w:after="0" w:line="252" w:lineRule="auto"/>
            </w:pPr>
            <w:r>
              <w:rPr>
                <w:rFonts w:ascii="Calibri" w:hAnsi="Calibri"/>
                <w:color w:val="0B1F1A"/>
                <w:sz w:val="15"/>
              </w:rPr>
              <w:t>Service</w:t>
            </w:r>
          </w:p>
        </w:tc>
      </w:tr>
      <w:tr>
        <w:tc>
          <w:tcPr>
            <w:tcW w:type="dxa" w:w="792"/>
            <w:tcMar>
              <w:top w:w="70" w:type="dxa"/>
              <w:bottom w:w="70" w:type="dxa"/>
              <w:start w:w="90" w:type="dxa"/>
              <w:end w:w="90" w:type="dxa"/>
            </w:tcMar>
          </w:tcPr>
          <w:p>
            <w:pPr>
              <w:spacing w:after="0" w:line="252" w:lineRule="auto"/>
            </w:pPr>
            <w:r>
              <w:rPr>
                <w:rFonts w:ascii="Calibri" w:hAnsi="Calibri"/>
                <w:color w:val="0B1F1A"/>
                <w:sz w:val="15"/>
              </w:rPr>
              <w:t>RET-13</w:t>
            </w:r>
          </w:p>
        </w:tc>
        <w:tc>
          <w:tcPr>
            <w:tcW w:type="dxa" w:w="1944"/>
            <w:tcMar>
              <w:top w:w="70" w:type="dxa"/>
              <w:bottom w:w="70" w:type="dxa"/>
              <w:start w:w="90" w:type="dxa"/>
              <w:end w:w="90" w:type="dxa"/>
            </w:tcMar>
          </w:tcPr>
          <w:p>
            <w:pPr>
              <w:spacing w:after="0" w:line="252" w:lineRule="auto"/>
            </w:pPr>
            <w:r>
              <w:rPr>
                <w:rFonts w:ascii="Calibri" w:hAnsi="Calibri"/>
                <w:color w:val="0B1F1A"/>
                <w:sz w:val="15"/>
              </w:rPr>
              <w:t>P(churn) ≥ 0.65</w:t>
            </w:r>
          </w:p>
        </w:tc>
        <w:tc>
          <w:tcPr>
            <w:tcW w:type="dxa" w:w="3096"/>
            <w:tcMar>
              <w:top w:w="70" w:type="dxa"/>
              <w:bottom w:w="70" w:type="dxa"/>
              <w:start w:w="90" w:type="dxa"/>
              <w:end w:w="90" w:type="dxa"/>
            </w:tcMar>
          </w:tcPr>
          <w:p>
            <w:pPr>
              <w:spacing w:after="0" w:line="252" w:lineRule="auto"/>
            </w:pPr>
            <w:r>
              <w:rPr>
                <w:rFonts w:ascii="Calibri" w:hAnsi="Calibri"/>
                <w:color w:val="0B1F1A"/>
                <w:sz w:val="15"/>
              </w:rPr>
              <w:t>Personal, time-boxed save offer</w:t>
            </w:r>
          </w:p>
        </w:tc>
        <w:tc>
          <w:tcPr>
            <w:tcW w:type="dxa" w:w="2520"/>
            <w:tcMar>
              <w:top w:w="70" w:type="dxa"/>
              <w:bottom w:w="70" w:type="dxa"/>
              <w:start w:w="90" w:type="dxa"/>
              <w:end w:w="90" w:type="dxa"/>
            </w:tcMar>
          </w:tcPr>
          <w:p>
            <w:pPr>
              <w:spacing w:after="0" w:line="252" w:lineRule="auto"/>
            </w:pPr>
            <w:r>
              <w:rPr>
                <w:rFonts w:ascii="Calibri" w:hAnsi="Calibri"/>
                <w:color w:val="0B1F1A"/>
                <w:sz w:val="15"/>
              </w:rPr>
              <w:t>20% off for 3 months</w:t>
            </w:r>
          </w:p>
        </w:tc>
        <w:tc>
          <w:tcPr>
            <w:tcW w:type="dxa" w:w="1224"/>
            <w:tcMar>
              <w:top w:w="70" w:type="dxa"/>
              <w:bottom w:w="70" w:type="dxa"/>
              <w:start w:w="90" w:type="dxa"/>
              <w:end w:w="90" w:type="dxa"/>
            </w:tcMar>
          </w:tcPr>
          <w:p>
            <w:pPr>
              <w:spacing w:after="0" w:line="252" w:lineRule="auto"/>
            </w:pPr>
            <w:r>
              <w:rPr>
                <w:rFonts w:ascii="Calibri" w:hAnsi="Calibri"/>
                <w:color w:val="0B1F1A"/>
                <w:sz w:val="15"/>
              </w:rPr>
              <w:t>Pricing</w:t>
            </w:r>
          </w:p>
        </w:tc>
      </w:tr>
      <w:tr>
        <w:tc>
          <w:tcPr>
            <w:tcW w:type="dxa" w:w="792"/>
            <w:tcMar>
              <w:top w:w="70" w:type="dxa"/>
              <w:bottom w:w="70" w:type="dxa"/>
              <w:start w:w="90" w:type="dxa"/>
              <w:end w:w="90" w:type="dxa"/>
            </w:tcMar>
            <w:shd w:val="clear" w:color="auto" w:fill="F5FAF8"/>
          </w:tcPr>
          <w:p>
            <w:pPr>
              <w:spacing w:after="0" w:line="252" w:lineRule="auto"/>
            </w:pPr>
            <w:r>
              <w:rPr>
                <w:rFonts w:ascii="Calibri" w:hAnsi="Calibri"/>
                <w:color w:val="0B1F1A"/>
                <w:sz w:val="15"/>
              </w:rPr>
              <w:t>RET-14</w:t>
            </w:r>
          </w:p>
        </w:tc>
        <w:tc>
          <w:tcPr>
            <w:tcW w:type="dxa" w:w="1944"/>
            <w:tcMar>
              <w:top w:w="70" w:type="dxa"/>
              <w:bottom w:w="70" w:type="dxa"/>
              <w:start w:w="90" w:type="dxa"/>
              <w:end w:w="90" w:type="dxa"/>
            </w:tcMar>
            <w:shd w:val="clear" w:color="auto" w:fill="F5FAF8"/>
          </w:tcPr>
          <w:p>
            <w:pPr>
              <w:spacing w:after="0" w:line="252" w:lineRule="auto"/>
            </w:pPr>
            <w:r>
              <w:rPr>
                <w:rFonts w:ascii="Calibri" w:hAnsi="Calibri"/>
                <w:color w:val="0B1F1A"/>
                <w:sz w:val="15"/>
              </w:rPr>
              <w:t>Low risk</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Loyalty nurture, not discounts</w:t>
            </w:r>
          </w:p>
        </w:tc>
        <w:tc>
          <w:tcPr>
            <w:tcW w:type="dxa" w:w="2520"/>
            <w:tcMar>
              <w:top w:w="70" w:type="dxa"/>
              <w:bottom w:w="70" w:type="dxa"/>
              <w:start w:w="90" w:type="dxa"/>
              <w:end w:w="90" w:type="dxa"/>
            </w:tcMar>
            <w:shd w:val="clear" w:color="auto" w:fill="F5FAF8"/>
          </w:tcPr>
          <w:p>
            <w:pPr>
              <w:spacing w:after="0" w:line="252" w:lineRule="auto"/>
            </w:pPr>
            <w:r>
              <w:rPr>
                <w:rFonts w:ascii="Calibri" w:hAnsi="Calibri"/>
                <w:color w:val="0B1F1A"/>
                <w:sz w:val="15"/>
              </w:rPr>
              <w:t>Rewards programme invitation</w:t>
            </w:r>
          </w:p>
        </w:tc>
        <w:tc>
          <w:tcPr>
            <w:tcW w:type="dxa" w:w="1224"/>
            <w:tcMar>
              <w:top w:w="70" w:type="dxa"/>
              <w:bottom w:w="70" w:type="dxa"/>
              <w:start w:w="90" w:type="dxa"/>
              <w:end w:w="90" w:type="dxa"/>
            </w:tcMar>
            <w:shd w:val="clear" w:color="auto" w:fill="F5FAF8"/>
          </w:tcPr>
          <w:p>
            <w:pPr>
              <w:spacing w:after="0" w:line="252" w:lineRule="auto"/>
            </w:pPr>
            <w:r>
              <w:rPr>
                <w:rFonts w:ascii="Calibri" w:hAnsi="Calibri"/>
                <w:color w:val="0B1F1A"/>
                <w:sz w:val="15"/>
              </w:rPr>
              <w:t>Engagement</w:t>
            </w:r>
          </w:p>
        </w:tc>
      </w:tr>
    </w:tbl>
    <w:p>
      <w:pPr>
        <w:spacing w:after="40"/>
      </w:pPr>
    </w:p>
    <w:p>
      <w:pPr>
        <w:spacing w:after="140" w:line="307" w:lineRule="auto"/>
      </w:pPr>
      <w:r>
        <w:rPr>
          <w:i w:val="0"/>
        </w:rPr>
        <w:t>The API returns the five highest-priority actions by default. Low-risk customers receive a nurture track rather than discounts, and actions triggered by an absent service (for example tech support for a customer with no internet) are suppressed.</w:t>
      </w:r>
    </w:p>
    <w:p>
      <w:r>
        <w:br w:type="page"/>
      </w:r>
    </w:p>
    <w:p>
      <w:pPr>
        <w:pStyle w:val="Heading1"/>
        <w:keepNext/>
        <w:spacing w:before="240" w:after="100"/>
      </w:pPr>
      <w:r>
        <w:t>11. System architecture and API</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1728"/>
            <w:shd w:val="clear" w:color="auto" w:fill="0B3B2E"/>
            <w:tcMar>
              <w:top w:w="70" w:type="dxa"/>
              <w:bottom w:w="70" w:type="dxa"/>
              <w:start w:w="90" w:type="dxa"/>
              <w:end w:w="90" w:type="dxa"/>
            </w:tcMar>
          </w:tcPr>
          <w:p>
            <w:pPr>
              <w:spacing w:after="0"/>
            </w:pPr>
            <w:r>
              <w:rPr>
                <w:rFonts w:ascii="Calibri" w:hAnsi="Calibri"/>
                <w:b/>
                <w:color w:val="FFFFFF"/>
                <w:sz w:val="16"/>
              </w:rPr>
              <w:t>Layer</w:t>
            </w:r>
          </w:p>
        </w:tc>
        <w:tc>
          <w:tcPr>
            <w:tcW w:type="dxa" w:w="3168"/>
            <w:shd w:val="clear" w:color="auto" w:fill="0B3B2E"/>
            <w:tcMar>
              <w:top w:w="70" w:type="dxa"/>
              <w:bottom w:w="70" w:type="dxa"/>
              <w:start w:w="90" w:type="dxa"/>
              <w:end w:w="90" w:type="dxa"/>
            </w:tcMar>
          </w:tcPr>
          <w:p>
            <w:pPr>
              <w:spacing w:after="0"/>
            </w:pPr>
            <w:r>
              <w:rPr>
                <w:rFonts w:ascii="Calibri" w:hAnsi="Calibri"/>
                <w:b/>
                <w:color w:val="FFFFFF"/>
                <w:sz w:val="16"/>
              </w:rPr>
              <w:t>Components</w:t>
            </w:r>
          </w:p>
        </w:tc>
        <w:tc>
          <w:tcPr>
            <w:tcW w:type="dxa" w:w="5040"/>
            <w:shd w:val="clear" w:color="auto" w:fill="0B3B2E"/>
            <w:tcMar>
              <w:top w:w="70" w:type="dxa"/>
              <w:bottom w:w="70" w:type="dxa"/>
              <w:start w:w="90" w:type="dxa"/>
              <w:end w:w="90" w:type="dxa"/>
            </w:tcMar>
          </w:tcPr>
          <w:p>
            <w:pPr>
              <w:spacing w:after="0"/>
            </w:pPr>
            <w:r>
              <w:rPr>
                <w:rFonts w:ascii="Calibri" w:hAnsi="Calibri"/>
                <w:b/>
                <w:color w:val="FFFFFF"/>
                <w:sz w:val="16"/>
              </w:rPr>
              <w:t>Responsibility</w:t>
            </w:r>
          </w:p>
        </w:tc>
      </w:tr>
      <w:tr>
        <w:tc>
          <w:tcPr>
            <w:tcW w:type="dxa" w:w="1728"/>
            <w:tcMar>
              <w:top w:w="70" w:type="dxa"/>
              <w:bottom w:w="70" w:type="dxa"/>
              <w:start w:w="90" w:type="dxa"/>
              <w:end w:w="90" w:type="dxa"/>
            </w:tcMar>
          </w:tcPr>
          <w:p>
            <w:pPr>
              <w:spacing w:after="0" w:line="252" w:lineRule="auto"/>
            </w:pPr>
            <w:r>
              <w:rPr>
                <w:rFonts w:ascii="Calibri" w:hAnsi="Calibri"/>
                <w:color w:val="0B1F1A"/>
                <w:sz w:val="16"/>
              </w:rPr>
              <w:t>Presentation</w:t>
            </w:r>
          </w:p>
        </w:tc>
        <w:tc>
          <w:tcPr>
            <w:tcW w:type="dxa" w:w="3168"/>
            <w:tcMar>
              <w:top w:w="70" w:type="dxa"/>
              <w:bottom w:w="70" w:type="dxa"/>
              <w:start w:w="90" w:type="dxa"/>
              <w:end w:w="90" w:type="dxa"/>
            </w:tcMar>
          </w:tcPr>
          <w:p>
            <w:pPr>
              <w:spacing w:after="0" w:line="252" w:lineRule="auto"/>
            </w:pPr>
            <w:r>
              <w:rPr>
                <w:rFonts w:ascii="Calibri" w:hAnsi="Calibri"/>
                <w:color w:val="0B1F1A"/>
                <w:sz w:val="16"/>
              </w:rPr>
              <w:t>RetainIQ dashboard (/app/)</w:t>
            </w:r>
          </w:p>
        </w:tc>
        <w:tc>
          <w:tcPr>
            <w:tcW w:type="dxa" w:w="5040"/>
            <w:tcMar>
              <w:top w:w="70" w:type="dxa"/>
              <w:bottom w:w="70" w:type="dxa"/>
              <w:start w:w="90" w:type="dxa"/>
              <w:end w:w="90" w:type="dxa"/>
            </w:tcMar>
          </w:tcPr>
          <w:p>
            <w:pPr>
              <w:spacing w:after="0" w:line="252" w:lineRule="auto"/>
            </w:pPr>
            <w:r>
              <w:rPr>
                <w:rFonts w:ascii="Calibri" w:hAnsi="Calibri"/>
                <w:color w:val="0B1F1A"/>
                <w:sz w:val="16"/>
              </w:rPr>
              <w:t>Dark SPA: overview, customers, scoring, insights, queue, history</w:t>
            </w:r>
          </w:p>
        </w:tc>
      </w:tr>
      <w:tr>
        <w:tc>
          <w:tcPr>
            <w:tcW w:type="dxa" w:w="1728"/>
            <w:tcMar>
              <w:top w:w="70" w:type="dxa"/>
              <w:bottom w:w="70" w:type="dxa"/>
              <w:start w:w="90" w:type="dxa"/>
              <w:end w:w="90" w:type="dxa"/>
            </w:tcMar>
            <w:shd w:val="clear" w:color="auto" w:fill="F5FAF8"/>
          </w:tcPr>
          <w:p>
            <w:pPr>
              <w:spacing w:after="0" w:line="252" w:lineRule="auto"/>
            </w:pPr>
            <w:r>
              <w:rPr>
                <w:rFonts w:ascii="Calibri" w:hAnsi="Calibri"/>
                <w:color w:val="0B1F1A"/>
                <w:sz w:val="16"/>
              </w:rPr>
              <w:t>API</w:t>
            </w:r>
          </w:p>
        </w:tc>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FastAPI + Pydantic</w:t>
            </w:r>
          </w:p>
        </w:tc>
        <w:tc>
          <w:tcPr>
            <w:tcW w:type="dxa" w:w="5040"/>
            <w:tcMar>
              <w:top w:w="70" w:type="dxa"/>
              <w:bottom w:w="70" w:type="dxa"/>
              <w:start w:w="90" w:type="dxa"/>
              <w:end w:w="90" w:type="dxa"/>
            </w:tcMar>
            <w:shd w:val="clear" w:color="auto" w:fill="F5FAF8"/>
          </w:tcPr>
          <w:p>
            <w:pPr>
              <w:spacing w:after="0" w:line="252" w:lineRule="auto"/>
            </w:pPr>
            <w:r>
              <w:rPr>
                <w:rFonts w:ascii="Calibri" w:hAnsi="Calibri"/>
                <w:color w:val="0B1F1A"/>
                <w:sz w:val="16"/>
              </w:rPr>
              <w:t>Validation, prediction, explanations, analytics, actions, audit trail</w:t>
            </w:r>
          </w:p>
        </w:tc>
      </w:tr>
      <w:tr>
        <w:tc>
          <w:tcPr>
            <w:tcW w:type="dxa" w:w="1728"/>
            <w:tcMar>
              <w:top w:w="70" w:type="dxa"/>
              <w:bottom w:w="70" w:type="dxa"/>
              <w:start w:w="90" w:type="dxa"/>
              <w:end w:w="90" w:type="dxa"/>
            </w:tcMar>
          </w:tcPr>
          <w:p>
            <w:pPr>
              <w:spacing w:after="0" w:line="252" w:lineRule="auto"/>
            </w:pPr>
            <w:r>
              <w:rPr>
                <w:rFonts w:ascii="Calibri" w:hAnsi="Calibri"/>
                <w:color w:val="0B1F1A"/>
                <w:sz w:val="16"/>
              </w:rPr>
              <w:t>Application</w:t>
            </w:r>
          </w:p>
        </w:tc>
        <w:tc>
          <w:tcPr>
            <w:tcW w:type="dxa" w:w="3168"/>
            <w:tcMar>
              <w:top w:w="70" w:type="dxa"/>
              <w:bottom w:w="70" w:type="dxa"/>
              <w:start w:w="90" w:type="dxa"/>
              <w:end w:w="90" w:type="dxa"/>
            </w:tcMar>
          </w:tcPr>
          <w:p>
            <w:pPr>
              <w:spacing w:after="0" w:line="252" w:lineRule="auto"/>
            </w:pPr>
            <w:r>
              <w:rPr>
                <w:rFonts w:ascii="Calibri" w:hAnsi="Calibri"/>
                <w:color w:val="0B1F1A"/>
                <w:sz w:val="16"/>
              </w:rPr>
              <w:t>ChurnService + ActionRepository</w:t>
            </w:r>
          </w:p>
        </w:tc>
        <w:tc>
          <w:tcPr>
            <w:tcW w:type="dxa" w:w="5040"/>
            <w:tcMar>
              <w:top w:w="70" w:type="dxa"/>
              <w:bottom w:w="70" w:type="dxa"/>
              <w:start w:w="90" w:type="dxa"/>
              <w:end w:w="90" w:type="dxa"/>
            </w:tcMar>
          </w:tcPr>
          <w:p>
            <w:pPr>
              <w:spacing w:after="0" w:line="252" w:lineRule="auto"/>
            </w:pPr>
            <w:r>
              <w:rPr>
                <w:rFonts w:ascii="Calibri" w:hAnsi="Calibri"/>
                <w:color w:val="0B1F1A"/>
                <w:sz w:val="16"/>
              </w:rPr>
              <w:t>Scoring orchestration, SHAP, risk bands, playbook, persistence</w:t>
            </w:r>
          </w:p>
        </w:tc>
      </w:tr>
      <w:tr>
        <w:tc>
          <w:tcPr>
            <w:tcW w:type="dxa" w:w="1728"/>
            <w:tcMar>
              <w:top w:w="70" w:type="dxa"/>
              <w:bottom w:w="70" w:type="dxa"/>
              <w:start w:w="90" w:type="dxa"/>
              <w:end w:w="90" w:type="dxa"/>
            </w:tcMar>
            <w:shd w:val="clear" w:color="auto" w:fill="F5FAF8"/>
          </w:tcPr>
          <w:p>
            <w:pPr>
              <w:spacing w:after="0" w:line="252" w:lineRule="auto"/>
            </w:pPr>
            <w:r>
              <w:rPr>
                <w:rFonts w:ascii="Calibri" w:hAnsi="Calibri"/>
                <w:color w:val="0B1F1A"/>
                <w:sz w:val="16"/>
              </w:rPr>
              <w:t>ML</w:t>
            </w:r>
          </w:p>
        </w:tc>
        <w:tc>
          <w:tcPr>
            <w:tcW w:type="dxa" w:w="3168"/>
            <w:tcMar>
              <w:top w:w="70" w:type="dxa"/>
              <w:bottom w:w="70" w:type="dxa"/>
              <w:start w:w="90" w:type="dxa"/>
              <w:end w:w="90" w:type="dxa"/>
            </w:tcMar>
            <w:shd w:val="clear" w:color="auto" w:fill="F5FAF8"/>
          </w:tcPr>
          <w:p>
            <w:pPr>
              <w:spacing w:after="0" w:line="252" w:lineRule="auto"/>
            </w:pPr>
            <w:r>
              <w:rPr>
                <w:rFonts w:ascii="Calibri" w:hAnsi="Calibri"/>
                <w:color w:val="0B1F1A"/>
                <w:sz w:val="16"/>
              </w:rPr>
              <w:t>scikit-learn / XGBoost / SHAP pipeline</w:t>
            </w:r>
          </w:p>
        </w:tc>
        <w:tc>
          <w:tcPr>
            <w:tcW w:type="dxa" w:w="5040"/>
            <w:tcMar>
              <w:top w:w="70" w:type="dxa"/>
              <w:bottom w:w="70" w:type="dxa"/>
              <w:start w:w="90" w:type="dxa"/>
              <w:end w:w="90" w:type="dxa"/>
            </w:tcMar>
            <w:shd w:val="clear" w:color="auto" w:fill="F5FAF8"/>
          </w:tcPr>
          <w:p>
            <w:pPr>
              <w:spacing w:after="0" w:line="252" w:lineRule="auto"/>
            </w:pPr>
            <w:r>
              <w:rPr>
                <w:rFonts w:ascii="Calibri" w:hAnsi="Calibri"/>
                <w:color w:val="0B1F1A"/>
                <w:sz w:val="16"/>
              </w:rPr>
              <w:t>Preprocessing + classifier + explanations</w:t>
            </w:r>
          </w:p>
        </w:tc>
      </w:tr>
      <w:tr>
        <w:tc>
          <w:tcPr>
            <w:tcW w:type="dxa" w:w="1728"/>
            <w:tcMar>
              <w:top w:w="70" w:type="dxa"/>
              <w:bottom w:w="70" w:type="dxa"/>
              <w:start w:w="90" w:type="dxa"/>
              <w:end w:w="90" w:type="dxa"/>
            </w:tcMar>
          </w:tcPr>
          <w:p>
            <w:pPr>
              <w:spacing w:after="0" w:line="252" w:lineRule="auto"/>
            </w:pPr>
            <w:r>
              <w:rPr>
                <w:rFonts w:ascii="Calibri" w:hAnsi="Calibri"/>
                <w:color w:val="0B1F1A"/>
                <w:sz w:val="16"/>
              </w:rPr>
              <w:t>Data</w:t>
            </w:r>
          </w:p>
        </w:tc>
        <w:tc>
          <w:tcPr>
            <w:tcW w:type="dxa" w:w="3168"/>
            <w:tcMar>
              <w:top w:w="70" w:type="dxa"/>
              <w:bottom w:w="70" w:type="dxa"/>
              <w:start w:w="90" w:type="dxa"/>
              <w:end w:w="90" w:type="dxa"/>
            </w:tcMar>
          </w:tcPr>
          <w:p>
            <w:pPr>
              <w:spacing w:after="0" w:line="252" w:lineRule="auto"/>
            </w:pPr>
            <w:r>
              <w:rPr>
                <w:rFonts w:ascii="Calibri" w:hAnsi="Calibri"/>
                <w:color w:val="0B1F1A"/>
                <w:sz w:val="16"/>
              </w:rPr>
              <w:t>IBM CSV, joblib artifact, SQLite</w:t>
            </w:r>
          </w:p>
        </w:tc>
        <w:tc>
          <w:tcPr>
            <w:tcW w:type="dxa" w:w="5040"/>
            <w:tcMar>
              <w:top w:w="70" w:type="dxa"/>
              <w:bottom w:w="70" w:type="dxa"/>
              <w:start w:w="90" w:type="dxa"/>
              <w:end w:w="90" w:type="dxa"/>
            </w:tcMar>
          </w:tcPr>
          <w:p>
            <w:pPr>
              <w:spacing w:after="0" w:line="252" w:lineRule="auto"/>
            </w:pPr>
            <w:r>
              <w:rPr>
                <w:rFonts w:ascii="Calibri" w:hAnsi="Calibri"/>
                <w:color w:val="0B1F1A"/>
                <w:sz w:val="16"/>
              </w:rPr>
              <w:t>Customer book, trained model, predictions, feedback, actions</w:t>
            </w:r>
          </w:p>
        </w:tc>
      </w:tr>
    </w:tbl>
    <w:p>
      <w:pPr>
        <w:spacing w:after="40"/>
      </w:pPr>
    </w:p>
    <w:p>
      <w:pPr>
        <w:spacing w:after="140" w:line="307" w:lineRule="auto"/>
      </w:pPr>
      <w:r>
        <w:rPr>
          <w:i w:val="0"/>
        </w:rPr>
        <w:t>The model is loaded once at API startup. The bundle contains the fitted pipeline, the decision threshold, a background sample for SHAP, the feature list and full experiment metadata. The bundle is written atomically so a running API never reads a partially written model.</w:t>
      </w:r>
    </w:p>
    <w:p>
      <w:pPr>
        <w:pStyle w:val="Heading2"/>
        <w:keepNext/>
        <w:spacing w:before="180" w:after="100"/>
      </w:pPr>
      <w:r>
        <w:t>11.1 Selected API endpoints</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936"/>
            <w:shd w:val="clear" w:color="auto" w:fill="0B3B2E"/>
            <w:tcMar>
              <w:top w:w="70" w:type="dxa"/>
              <w:bottom w:w="70" w:type="dxa"/>
              <w:start w:w="90" w:type="dxa"/>
              <w:end w:w="90" w:type="dxa"/>
            </w:tcMar>
          </w:tcPr>
          <w:p>
            <w:pPr>
              <w:spacing w:after="0"/>
            </w:pPr>
            <w:r>
              <w:rPr>
                <w:rFonts w:ascii="Calibri" w:hAnsi="Calibri"/>
                <w:b/>
                <w:color w:val="FFFFFF"/>
                <w:sz w:val="15"/>
              </w:rPr>
              <w:t>Method</w:t>
            </w:r>
          </w:p>
        </w:tc>
        <w:tc>
          <w:tcPr>
            <w:tcW w:type="dxa" w:w="3096"/>
            <w:shd w:val="clear" w:color="auto" w:fill="0B3B2E"/>
            <w:tcMar>
              <w:top w:w="70" w:type="dxa"/>
              <w:bottom w:w="70" w:type="dxa"/>
              <w:start w:w="90" w:type="dxa"/>
              <w:end w:w="90" w:type="dxa"/>
            </w:tcMar>
          </w:tcPr>
          <w:p>
            <w:pPr>
              <w:spacing w:after="0"/>
            </w:pPr>
            <w:r>
              <w:rPr>
                <w:rFonts w:ascii="Calibri" w:hAnsi="Calibri"/>
                <w:b/>
                <w:color w:val="FFFFFF"/>
                <w:sz w:val="15"/>
              </w:rPr>
              <w:t>Endpoint</w:t>
            </w:r>
          </w:p>
        </w:tc>
        <w:tc>
          <w:tcPr>
            <w:tcW w:type="dxa" w:w="6048"/>
            <w:shd w:val="clear" w:color="auto" w:fill="0B3B2E"/>
            <w:tcMar>
              <w:top w:w="70" w:type="dxa"/>
              <w:bottom w:w="70" w:type="dxa"/>
              <w:start w:w="90" w:type="dxa"/>
              <w:end w:w="90" w:type="dxa"/>
            </w:tcMar>
          </w:tcPr>
          <w:p>
            <w:pPr>
              <w:spacing w:after="0"/>
            </w:pPr>
            <w:r>
              <w:rPr>
                <w:rFonts w:ascii="Calibri" w:hAnsi="Calibri"/>
                <w:b/>
                <w:color w:val="FFFFFF"/>
                <w:sz w:val="15"/>
              </w:rPr>
              <w:t>Purpose</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tcPr>
          <w:p>
            <w:pPr>
              <w:spacing w:after="0" w:line="252" w:lineRule="auto"/>
            </w:pPr>
            <w:r>
              <w:rPr>
                <w:rFonts w:ascii="Calibri" w:hAnsi="Calibri"/>
                <w:color w:val="0B1F1A"/>
                <w:sz w:val="15"/>
              </w:rPr>
              <w:t>/health</w:t>
            </w:r>
          </w:p>
        </w:tc>
        <w:tc>
          <w:tcPr>
            <w:tcW w:type="dxa" w:w="6048"/>
            <w:tcMar>
              <w:top w:w="70" w:type="dxa"/>
              <w:bottom w:w="70" w:type="dxa"/>
              <w:start w:w="90" w:type="dxa"/>
              <w:end w:w="90" w:type="dxa"/>
            </w:tcMar>
          </w:tcPr>
          <w:p>
            <w:pPr>
              <w:spacing w:after="0" w:line="252" w:lineRule="auto"/>
            </w:pPr>
            <w:r>
              <w:rPr>
                <w:rFonts w:ascii="Calibri" w:hAnsi="Calibri"/>
                <w:color w:val="0B1F1A"/>
                <w:sz w:val="15"/>
              </w:rPr>
              <w:t>Liveness and loaded model/version/threshold</w:t>
            </w:r>
          </w:p>
        </w:tc>
      </w:tr>
      <w:tr>
        <w:tc>
          <w:tcPr>
            <w:tcW w:type="dxa" w:w="936"/>
            <w:tcMar>
              <w:top w:w="70" w:type="dxa"/>
              <w:bottom w:w="70" w:type="dxa"/>
              <w:start w:w="90" w:type="dxa"/>
              <w:end w:w="90" w:type="dxa"/>
            </w:tcMar>
            <w:shd w:val="clear" w:color="auto" w:fill="F5FAF8"/>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/dashboard/summary</w:t>
            </w:r>
          </w:p>
        </w:tc>
        <w:tc>
          <w:tcPr>
            <w:tcW w:type="dxa" w:w="6048"/>
            <w:tcMar>
              <w:top w:w="70" w:type="dxa"/>
              <w:bottom w:w="70" w:type="dxa"/>
              <w:start w:w="90" w:type="dxa"/>
              <w:end w:w="90" w:type="dxa"/>
            </w:tcMar>
            <w:shd w:val="clear" w:color="auto" w:fill="F5FAF8"/>
          </w:tcPr>
          <w:p>
            <w:pPr>
              <w:spacing w:after="0" w:line="252" w:lineRule="auto"/>
            </w:pPr>
            <w:r>
              <w:rPr>
                <w:rFonts w:ascii="Calibri" w:hAnsi="Calibri"/>
                <w:color w:val="0B1F1A"/>
                <w:sz w:val="15"/>
              </w:rPr>
              <w:t>KPI payload for the overview page</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tcPr>
          <w:p>
            <w:pPr>
              <w:spacing w:after="0" w:line="252" w:lineRule="auto"/>
            </w:pPr>
            <w:r>
              <w:rPr>
                <w:rFonts w:ascii="Calibri" w:hAnsi="Calibri"/>
                <w:color w:val="0B1F1A"/>
                <w:sz w:val="15"/>
              </w:rPr>
              <w:t>/model/info</w:t>
            </w:r>
          </w:p>
        </w:tc>
        <w:tc>
          <w:tcPr>
            <w:tcW w:type="dxa" w:w="6048"/>
            <w:tcMar>
              <w:top w:w="70" w:type="dxa"/>
              <w:bottom w:w="70" w:type="dxa"/>
              <w:start w:w="90" w:type="dxa"/>
              <w:end w:w="90" w:type="dxa"/>
            </w:tcMar>
          </w:tcPr>
          <w:p>
            <w:pPr>
              <w:spacing w:after="0" w:line="252" w:lineRule="auto"/>
            </w:pPr>
            <w:r>
              <w:rPr>
                <w:rFonts w:ascii="Calibri" w:hAnsi="Calibri"/>
                <w:color w:val="0B1F1A"/>
                <w:sz w:val="15"/>
              </w:rPr>
              <w:t>Model, dataset, risk bands, top drivers, test metrics</w:t>
            </w:r>
          </w:p>
        </w:tc>
      </w:tr>
      <w:tr>
        <w:tc>
          <w:tcPr>
            <w:tcW w:type="dxa" w:w="936"/>
            <w:tcMar>
              <w:top w:w="70" w:type="dxa"/>
              <w:bottom w:w="70" w:type="dxa"/>
              <w:start w:w="90" w:type="dxa"/>
              <w:end w:w="90" w:type="dxa"/>
            </w:tcMar>
            <w:shd w:val="clear" w:color="auto" w:fill="F5FAF8"/>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/model/metrics</w:t>
            </w:r>
          </w:p>
        </w:tc>
        <w:tc>
          <w:tcPr>
            <w:tcW w:type="dxa" w:w="6048"/>
            <w:tcMar>
              <w:top w:w="70" w:type="dxa"/>
              <w:bottom w:w="70" w:type="dxa"/>
              <w:start w:w="90" w:type="dxa"/>
              <w:end w:w="90" w:type="dxa"/>
            </w:tcMar>
            <w:shd w:val="clear" w:color="auto" w:fill="F5FAF8"/>
          </w:tcPr>
          <w:p>
            <w:pPr>
              <w:spacing w:after="0" w:line="252" w:lineRule="auto"/>
            </w:pPr>
            <w:r>
              <w:rPr>
                <w:rFonts w:ascii="Calibri" w:hAnsi="Calibri"/>
                <w:color w:val="0B1F1A"/>
                <w:sz w:val="15"/>
              </w:rPr>
              <w:t>CV/test results and ROC/PR points</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tcPr>
          <w:p>
            <w:pPr>
              <w:spacing w:after="0" w:line="252" w:lineRule="auto"/>
            </w:pPr>
            <w:r>
              <w:rPr>
                <w:rFonts w:ascii="Calibri" w:hAnsi="Calibri"/>
                <w:color w:val="0B1F1A"/>
                <w:sz w:val="15"/>
              </w:rPr>
              <w:t>/model/features</w:t>
            </w:r>
          </w:p>
        </w:tc>
        <w:tc>
          <w:tcPr>
            <w:tcW w:type="dxa" w:w="6048"/>
            <w:tcMar>
              <w:top w:w="70" w:type="dxa"/>
              <w:bottom w:w="70" w:type="dxa"/>
              <w:start w:w="90" w:type="dxa"/>
              <w:end w:w="90" w:type="dxa"/>
            </w:tcMar>
          </w:tcPr>
          <w:p>
            <w:pPr>
              <w:spacing w:after="0" w:line="252" w:lineRule="auto"/>
            </w:pPr>
            <w:r>
              <w:rPr>
                <w:rFonts w:ascii="Calibri" w:hAnsi="Calibri"/>
                <w:color w:val="0B1F1A"/>
                <w:sz w:val="15"/>
              </w:rPr>
              <w:t>Input field specification and example payload</w:t>
            </w:r>
          </w:p>
        </w:tc>
      </w:tr>
      <w:tr>
        <w:tc>
          <w:tcPr>
            <w:tcW w:type="dxa" w:w="936"/>
            <w:tcMar>
              <w:top w:w="70" w:type="dxa"/>
              <w:bottom w:w="70" w:type="dxa"/>
              <w:start w:w="90" w:type="dxa"/>
              <w:end w:w="90" w:type="dxa"/>
            </w:tcMar>
            <w:shd w:val="clear" w:color="auto" w:fill="F5FAF8"/>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/model/card</w:t>
            </w:r>
          </w:p>
        </w:tc>
        <w:tc>
          <w:tcPr>
            <w:tcW w:type="dxa" w:w="6048"/>
            <w:tcMar>
              <w:top w:w="70" w:type="dxa"/>
              <w:bottom w:w="70" w:type="dxa"/>
              <w:start w:w="90" w:type="dxa"/>
              <w:end w:w="90" w:type="dxa"/>
            </w:tcMar>
            <w:shd w:val="clear" w:color="auto" w:fill="F5FAF8"/>
          </w:tcPr>
          <w:p>
            <w:pPr>
              <w:spacing w:after="0" w:line="252" w:lineRule="auto"/>
            </w:pPr>
            <w:r>
              <w:rPr>
                <w:rFonts w:ascii="Calibri" w:hAnsi="Calibri"/>
                <w:color w:val="0B1F1A"/>
                <w:sz w:val="15"/>
              </w:rPr>
              <w:t>Generated model card</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POST</w:t>
            </w:r>
          </w:p>
        </w:tc>
        <w:tc>
          <w:tcPr>
            <w:tcW w:type="dxa" w:w="3096"/>
            <w:tcMar>
              <w:top w:w="70" w:type="dxa"/>
              <w:bottom w:w="70" w:type="dxa"/>
              <w:start w:w="90" w:type="dxa"/>
              <w:end w:w="90" w:type="dxa"/>
            </w:tcMar>
          </w:tcPr>
          <w:p>
            <w:pPr>
              <w:spacing w:after="0" w:line="252" w:lineRule="auto"/>
            </w:pPr>
            <w:r>
              <w:rPr>
                <w:rFonts w:ascii="Calibri" w:hAnsi="Calibri"/>
                <w:color w:val="0B1F1A"/>
                <w:sz w:val="15"/>
              </w:rPr>
              <w:t>/predict</w:t>
            </w:r>
          </w:p>
        </w:tc>
        <w:tc>
          <w:tcPr>
            <w:tcW w:type="dxa" w:w="6048"/>
            <w:tcMar>
              <w:top w:w="70" w:type="dxa"/>
              <w:bottom w:w="70" w:type="dxa"/>
              <w:start w:w="90" w:type="dxa"/>
              <w:end w:w="90" w:type="dxa"/>
            </w:tcMar>
          </w:tcPr>
          <w:p>
            <w:pPr>
              <w:spacing w:after="0" w:line="252" w:lineRule="auto"/>
            </w:pPr>
            <w:r>
              <w:rPr>
                <w:rFonts w:ascii="Calibri" w:hAnsi="Calibri"/>
                <w:color w:val="0B1F1A"/>
                <w:sz w:val="15"/>
              </w:rPr>
              <w:t>Score one customer with drivers and playbook</w:t>
            </w:r>
          </w:p>
        </w:tc>
      </w:tr>
      <w:tr>
        <w:tc>
          <w:tcPr>
            <w:tcW w:type="dxa" w:w="936"/>
            <w:tcMar>
              <w:top w:w="70" w:type="dxa"/>
              <w:bottom w:w="70" w:type="dxa"/>
              <w:start w:w="90" w:type="dxa"/>
              <w:end w:w="90" w:type="dxa"/>
            </w:tcMar>
            <w:shd w:val="clear" w:color="auto" w:fill="F5FAF8"/>
          </w:tcPr>
          <w:p>
            <w:pPr>
              <w:spacing w:after="0" w:line="252" w:lineRule="auto"/>
            </w:pPr>
            <w:r>
              <w:rPr>
                <w:rFonts w:ascii="Calibri" w:hAnsi="Calibri"/>
                <w:color w:val="0B1F1A"/>
                <w:sz w:val="15"/>
              </w:rPr>
              <w:t>POST</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/predict/batch</w:t>
            </w:r>
          </w:p>
        </w:tc>
        <w:tc>
          <w:tcPr>
            <w:tcW w:type="dxa" w:w="6048"/>
            <w:tcMar>
              <w:top w:w="70" w:type="dxa"/>
              <w:bottom w:w="70" w:type="dxa"/>
              <w:start w:w="90" w:type="dxa"/>
              <w:end w:w="90" w:type="dxa"/>
            </w:tcMar>
            <w:shd w:val="clear" w:color="auto" w:fill="F5FAF8"/>
          </w:tcPr>
          <w:p>
            <w:pPr>
              <w:spacing w:after="0" w:line="252" w:lineRule="auto"/>
            </w:pPr>
            <w:r>
              <w:rPr>
                <w:rFonts w:ascii="Calibri" w:hAnsi="Calibri"/>
                <w:color w:val="0B1F1A"/>
                <w:sz w:val="15"/>
              </w:rPr>
              <w:t>Score 1–1,000 customers</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tcPr>
          <w:p>
            <w:pPr>
              <w:spacing w:after="0" w:line="252" w:lineRule="auto"/>
            </w:pPr>
            <w:r>
              <w:rPr>
                <w:rFonts w:ascii="Calibri" w:hAnsi="Calibri"/>
                <w:color w:val="0B1F1A"/>
                <w:sz w:val="15"/>
              </w:rPr>
              <w:t>/customers/high-risk</w:t>
            </w:r>
          </w:p>
        </w:tc>
        <w:tc>
          <w:tcPr>
            <w:tcW w:type="dxa" w:w="6048"/>
            <w:tcMar>
              <w:top w:w="70" w:type="dxa"/>
              <w:bottom w:w="70" w:type="dxa"/>
              <w:start w:w="90" w:type="dxa"/>
              <w:end w:w="90" w:type="dxa"/>
            </w:tcMar>
          </w:tcPr>
          <w:p>
            <w:pPr>
              <w:spacing w:after="0" w:line="252" w:lineRule="auto"/>
            </w:pPr>
            <w:r>
              <w:rPr>
                <w:rFonts w:ascii="Calibri" w:hAnsi="Calibri"/>
                <w:color w:val="0B1F1A"/>
                <w:sz w:val="15"/>
              </w:rPr>
              <w:t>Ranked customer work queue</w:t>
            </w:r>
          </w:p>
        </w:tc>
      </w:tr>
      <w:tr>
        <w:tc>
          <w:tcPr>
            <w:tcW w:type="dxa" w:w="936"/>
            <w:tcMar>
              <w:top w:w="70" w:type="dxa"/>
              <w:bottom w:w="70" w:type="dxa"/>
              <w:start w:w="90" w:type="dxa"/>
              <w:end w:w="90" w:type="dxa"/>
            </w:tcMar>
            <w:shd w:val="clear" w:color="auto" w:fill="F5FAF8"/>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/customers/{id}</w:t>
            </w:r>
          </w:p>
        </w:tc>
        <w:tc>
          <w:tcPr>
            <w:tcW w:type="dxa" w:w="6048"/>
            <w:tcMar>
              <w:top w:w="70" w:type="dxa"/>
              <w:bottom w:w="70" w:type="dxa"/>
              <w:start w:w="90" w:type="dxa"/>
              <w:end w:w="90" w:type="dxa"/>
            </w:tcMar>
            <w:shd w:val="clear" w:color="auto" w:fill="F5FAF8"/>
          </w:tcPr>
          <w:p>
            <w:pPr>
              <w:spacing w:after="0" w:line="252" w:lineRule="auto"/>
            </w:pPr>
            <w:r>
              <w:rPr>
                <w:rFonts w:ascii="Calibri" w:hAnsi="Calibri"/>
                <w:color w:val="0B1F1A"/>
                <w:sz w:val="15"/>
              </w:rPr>
              <w:t>Live score, SHAP drivers and playbook</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tcPr>
          <w:p>
            <w:pPr>
              <w:spacing w:after="0" w:line="252" w:lineRule="auto"/>
            </w:pPr>
            <w:r>
              <w:rPr>
                <w:rFonts w:ascii="Calibri" w:hAnsi="Calibri"/>
                <w:color w:val="0B1F1A"/>
                <w:sz w:val="15"/>
              </w:rPr>
              <w:t>/eda/summary</w:t>
            </w:r>
          </w:p>
        </w:tc>
        <w:tc>
          <w:tcPr>
            <w:tcW w:type="dxa" w:w="6048"/>
            <w:tcMar>
              <w:top w:w="70" w:type="dxa"/>
              <w:bottom w:w="70" w:type="dxa"/>
              <w:start w:w="90" w:type="dxa"/>
              <w:end w:w="90" w:type="dxa"/>
            </w:tcMar>
          </w:tcPr>
          <w:p>
            <w:pPr>
              <w:spacing w:after="0" w:line="252" w:lineRule="auto"/>
            </w:pPr>
            <w:r>
              <w:rPr>
                <w:rFonts w:ascii="Calibri" w:hAnsi="Calibri"/>
                <w:color w:val="0B1F1A"/>
                <w:sz w:val="15"/>
              </w:rPr>
              <w:t>Segment churn rates and correlations</w:t>
            </w:r>
          </w:p>
        </w:tc>
      </w:tr>
      <w:tr>
        <w:tc>
          <w:tcPr>
            <w:tcW w:type="dxa" w:w="936"/>
            <w:tcMar>
              <w:top w:w="70" w:type="dxa"/>
              <w:bottom w:w="70" w:type="dxa"/>
              <w:start w:w="90" w:type="dxa"/>
              <w:end w:w="90" w:type="dxa"/>
            </w:tcMar>
            <w:shd w:val="clear" w:color="auto" w:fill="F5FAF8"/>
          </w:tcPr>
          <w:p>
            <w:pPr>
              <w:spacing w:after="0" w:line="252" w:lineRule="auto"/>
            </w:pPr>
            <w:r>
              <w:rPr>
                <w:rFonts w:ascii="Calibri" w:hAnsi="Calibri"/>
                <w:color w:val="0B1F1A"/>
                <w:sz w:val="15"/>
              </w:rPr>
              <w:t>POST</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/actions</w:t>
            </w:r>
          </w:p>
        </w:tc>
        <w:tc>
          <w:tcPr>
            <w:tcW w:type="dxa" w:w="6048"/>
            <w:tcMar>
              <w:top w:w="70" w:type="dxa"/>
              <w:bottom w:w="70" w:type="dxa"/>
              <w:start w:w="90" w:type="dxa"/>
              <w:end w:w="90" w:type="dxa"/>
            </w:tcMar>
            <w:shd w:val="clear" w:color="auto" w:fill="F5FAF8"/>
          </w:tcPr>
          <w:p>
            <w:pPr>
              <w:spacing w:after="0" w:line="252" w:lineRule="auto"/>
            </w:pPr>
            <w:r>
              <w:rPr>
                <w:rFonts w:ascii="Calibri" w:hAnsi="Calibri"/>
                <w:color w:val="0B1F1A"/>
                <w:sz w:val="15"/>
              </w:rPr>
              <w:t>Save a recommendation to the retention queue</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tcPr>
          <w:p>
            <w:pPr>
              <w:spacing w:after="0" w:line="252" w:lineRule="auto"/>
            </w:pPr>
            <w:r>
              <w:rPr>
                <w:rFonts w:ascii="Calibri" w:hAnsi="Calibri"/>
                <w:color w:val="0B1F1A"/>
                <w:sz w:val="15"/>
              </w:rPr>
              <w:t>/actions</w:t>
            </w:r>
          </w:p>
        </w:tc>
        <w:tc>
          <w:tcPr>
            <w:tcW w:type="dxa" w:w="6048"/>
            <w:tcMar>
              <w:top w:w="70" w:type="dxa"/>
              <w:bottom w:w="70" w:type="dxa"/>
              <w:start w:w="90" w:type="dxa"/>
              <w:end w:w="90" w:type="dxa"/>
            </w:tcMar>
          </w:tcPr>
          <w:p>
            <w:pPr>
              <w:spacing w:after="0" w:line="252" w:lineRule="auto"/>
            </w:pPr>
            <w:r>
              <w:rPr>
                <w:rFonts w:ascii="Calibri" w:hAnsi="Calibri"/>
                <w:color w:val="0B1F1A"/>
                <w:sz w:val="15"/>
              </w:rPr>
              <w:t>List/filter saved actions</w:t>
            </w:r>
          </w:p>
        </w:tc>
      </w:tr>
      <w:tr>
        <w:tc>
          <w:tcPr>
            <w:tcW w:type="dxa" w:w="936"/>
            <w:tcMar>
              <w:top w:w="70" w:type="dxa"/>
              <w:bottom w:w="70" w:type="dxa"/>
              <w:start w:w="90" w:type="dxa"/>
              <w:end w:w="90" w:type="dxa"/>
            </w:tcMar>
            <w:shd w:val="clear" w:color="auto" w:fill="F5FAF8"/>
          </w:tcPr>
          <w:p>
            <w:pPr>
              <w:spacing w:after="0" w:line="252" w:lineRule="auto"/>
            </w:pPr>
            <w:r>
              <w:rPr>
                <w:rFonts w:ascii="Calibri" w:hAnsi="Calibri"/>
                <w:color w:val="0B1F1A"/>
                <w:sz w:val="15"/>
              </w:rPr>
              <w:t>PATCH</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/actions/{id}</w:t>
            </w:r>
          </w:p>
        </w:tc>
        <w:tc>
          <w:tcPr>
            <w:tcW w:type="dxa" w:w="6048"/>
            <w:tcMar>
              <w:top w:w="70" w:type="dxa"/>
              <w:bottom w:w="70" w:type="dxa"/>
              <w:start w:w="90" w:type="dxa"/>
              <w:end w:w="90" w:type="dxa"/>
            </w:tcMar>
            <w:shd w:val="clear" w:color="auto" w:fill="F5FAF8"/>
          </w:tcPr>
          <w:p>
            <w:pPr>
              <w:spacing w:after="0" w:line="252" w:lineRule="auto"/>
            </w:pPr>
            <w:r>
              <w:rPr>
                <w:rFonts w:ascii="Calibri" w:hAnsi="Calibri"/>
                <w:color w:val="0B1F1A"/>
                <w:sz w:val="15"/>
              </w:rPr>
              <w:t>Update workflow status or note</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tcPr>
          <w:p>
            <w:pPr>
              <w:spacing w:after="0" w:line="252" w:lineRule="auto"/>
            </w:pPr>
            <w:r>
              <w:rPr>
                <w:rFonts w:ascii="Calibri" w:hAnsi="Calibri"/>
                <w:color w:val="0B1F1A"/>
                <w:sz w:val="15"/>
              </w:rPr>
              <w:t>/history</w:t>
            </w:r>
          </w:p>
        </w:tc>
        <w:tc>
          <w:tcPr>
            <w:tcW w:type="dxa" w:w="6048"/>
            <w:tcMar>
              <w:top w:w="70" w:type="dxa"/>
              <w:bottom w:w="70" w:type="dxa"/>
              <w:start w:w="90" w:type="dxa"/>
              <w:end w:w="90" w:type="dxa"/>
            </w:tcMar>
          </w:tcPr>
          <w:p>
            <w:pPr>
              <w:spacing w:after="0" w:line="252" w:lineRule="auto"/>
            </w:pPr>
            <w:r>
              <w:rPr>
                <w:rFonts w:ascii="Calibri" w:hAnsi="Calibri"/>
                <w:color w:val="0B1F1A"/>
                <w:sz w:val="15"/>
              </w:rPr>
              <w:t>Recent prediction audit trail</w:t>
            </w:r>
          </w:p>
        </w:tc>
      </w:tr>
      <w:tr>
        <w:tc>
          <w:tcPr>
            <w:tcW w:type="dxa" w:w="936"/>
            <w:tcMar>
              <w:top w:w="70" w:type="dxa"/>
              <w:bottom w:w="70" w:type="dxa"/>
              <w:start w:w="90" w:type="dxa"/>
              <w:end w:w="90" w:type="dxa"/>
            </w:tcMar>
            <w:shd w:val="clear" w:color="auto" w:fill="F5FAF8"/>
          </w:tcPr>
          <w:p>
            <w:pPr>
              <w:spacing w:after="0" w:line="252" w:lineRule="auto"/>
            </w:pPr>
            <w:r>
              <w:rPr>
                <w:rFonts w:ascii="Calibri" w:hAnsi="Calibri"/>
                <w:color w:val="0B1F1A"/>
                <w:sz w:val="15"/>
              </w:rPr>
              <w:t>POST</w:t>
            </w:r>
          </w:p>
        </w:tc>
        <w:tc>
          <w:tcPr>
            <w:tcW w:type="dxa" w:w="3096"/>
            <w:tcMar>
              <w:top w:w="70" w:type="dxa"/>
              <w:bottom w:w="70" w:type="dxa"/>
              <w:start w:w="90" w:type="dxa"/>
              <w:end w:w="90" w:type="dxa"/>
            </w:tcMar>
            <w:shd w:val="clear" w:color="auto" w:fill="F5FAF8"/>
          </w:tcPr>
          <w:p>
            <w:pPr>
              <w:spacing w:after="0" w:line="252" w:lineRule="auto"/>
            </w:pPr>
            <w:r>
              <w:rPr>
                <w:rFonts w:ascii="Calibri" w:hAnsi="Calibri"/>
                <w:color w:val="0B1F1A"/>
                <w:sz w:val="15"/>
              </w:rPr>
              <w:t>/feedback</w:t>
            </w:r>
          </w:p>
        </w:tc>
        <w:tc>
          <w:tcPr>
            <w:tcW w:type="dxa" w:w="6048"/>
            <w:tcMar>
              <w:top w:w="70" w:type="dxa"/>
              <w:bottom w:w="70" w:type="dxa"/>
              <w:start w:w="90" w:type="dxa"/>
              <w:end w:w="90" w:type="dxa"/>
            </w:tcMar>
            <w:shd w:val="clear" w:color="auto" w:fill="F5FAF8"/>
          </w:tcPr>
          <w:p>
            <w:pPr>
              <w:spacing w:after="0" w:line="252" w:lineRule="auto"/>
            </w:pPr>
            <w:r>
              <w:rPr>
                <w:rFonts w:ascii="Calibri" w:hAnsi="Calibri"/>
                <w:color w:val="0B1F1A"/>
                <w:sz w:val="15"/>
              </w:rPr>
              <w:t>Record whether a scored customer actually churned</w:t>
            </w:r>
          </w:p>
        </w:tc>
      </w:tr>
      <w:tr>
        <w:tc>
          <w:tcPr>
            <w:tcW w:type="dxa" w:w="936"/>
            <w:tcMar>
              <w:top w:w="70" w:type="dxa"/>
              <w:bottom w:w="70" w:type="dxa"/>
              <w:start w:w="90" w:type="dxa"/>
              <w:end w:w="90" w:type="dxa"/>
            </w:tcMar>
          </w:tcPr>
          <w:p>
            <w:pPr>
              <w:spacing w:after="0" w:line="252" w:lineRule="auto"/>
            </w:pPr>
            <w:r>
              <w:rPr>
                <w:rFonts w:ascii="Calibri" w:hAnsi="Calibri"/>
                <w:color w:val="0B1F1A"/>
                <w:sz w:val="15"/>
              </w:rPr>
              <w:t>GET</w:t>
            </w:r>
          </w:p>
        </w:tc>
        <w:tc>
          <w:tcPr>
            <w:tcW w:type="dxa" w:w="3096"/>
            <w:tcMar>
              <w:top w:w="70" w:type="dxa"/>
              <w:bottom w:w="70" w:type="dxa"/>
              <w:start w:w="90" w:type="dxa"/>
              <w:end w:w="90" w:type="dxa"/>
            </w:tcMar>
          </w:tcPr>
          <w:p>
            <w:pPr>
              <w:spacing w:after="0" w:line="252" w:lineRule="auto"/>
            </w:pPr>
            <w:r>
              <w:rPr>
                <w:rFonts w:ascii="Calibri" w:hAnsi="Calibri"/>
                <w:color w:val="0B1F1A"/>
                <w:sz w:val="15"/>
              </w:rPr>
              <w:t>/db/status</w:t>
            </w:r>
          </w:p>
        </w:tc>
        <w:tc>
          <w:tcPr>
            <w:tcW w:type="dxa" w:w="6048"/>
            <w:tcMar>
              <w:top w:w="70" w:type="dxa"/>
              <w:bottom w:w="70" w:type="dxa"/>
              <w:start w:w="90" w:type="dxa"/>
              <w:end w:w="90" w:type="dxa"/>
            </w:tcMar>
          </w:tcPr>
          <w:p>
            <w:pPr>
              <w:spacing w:after="0" w:line="252" w:lineRule="auto"/>
            </w:pPr>
            <w:r>
              <w:rPr>
                <w:rFonts w:ascii="Calibri" w:hAnsi="Calibri"/>
                <w:color w:val="0B1F1A"/>
                <w:sz w:val="15"/>
              </w:rPr>
              <w:t>SQLite engine, tables and size</w:t>
            </w:r>
          </w:p>
        </w:tc>
      </w:tr>
    </w:tbl>
    <w:p>
      <w:pPr>
        <w:spacing w:after="40"/>
      </w:pPr>
    </w:p>
    <w:p>
      <w:r>
        <w:br w:type="page"/>
      </w:r>
    </w:p>
    <w:p>
      <w:pPr>
        <w:pStyle w:val="Heading1"/>
        <w:keepNext/>
        <w:spacing w:before="240" w:after="100"/>
      </w:pPr>
      <w:r>
        <w:t>12. Frontend, database and step-by-step tutorial</w:t>
      </w:r>
    </w:p>
    <w:p>
      <w:pPr>
        <w:spacing w:after="140" w:line="307" w:lineRule="auto"/>
      </w:pPr>
      <w:r>
        <w:rPr>
          <w:i w:val="0"/>
        </w:rPr>
        <w:t>The frontend is a React 19 + Vite single-page application served by FastAPI at /app/. The compiled bundle lives in frontend/dist/, so the demo does not require Node.js or a separate dev server at run time. The React source stays maintainable in frontend/src/. The visual language follows the supplied reference: near-black surfaces, neon mint accents, translucent glass panels with backdrop blur, thin borders, compact data-dense cards and a dark retention command-center feel.</w:t>
      </w:r>
    </w:p>
    <w:p>
      <w:pPr>
        <w:pStyle w:val="Heading2"/>
        <w:keepNext/>
        <w:spacing w:before="180" w:after="100"/>
      </w:pPr>
      <w:r>
        <w:t>12.1 Pages</w:t>
      </w:r>
    </w:p>
    <w:p>
      <w:pPr>
        <w:pStyle w:val="ListBullet"/>
        <w:spacing w:after="60"/>
      </w:pPr>
      <w:r>
        <w:t>Overview: hero, KPI cards, risk donut, contract churn chart, model gauge, global drivers and the highest-risk table.</w:t>
      </w:r>
    </w:p>
    <w:p>
      <w:pPr>
        <w:pStyle w:val="ListBullet"/>
        <w:spacing w:after="60"/>
      </w:pPr>
      <w:r>
        <w:t>Customers: risk-band tabs, instant search, pagination, CSV export and a click-through drawer.</w:t>
      </w:r>
    </w:p>
    <w:p>
      <w:pPr>
        <w:pStyle w:val="ListBullet"/>
        <w:spacing w:after="60"/>
      </w:pPr>
      <w:r>
        <w:t>Score customer: validated form, high/low demo profiles, probability gauge, SHAP drivers and playbook.</w:t>
      </w:r>
    </w:p>
    <w:p>
      <w:pPr>
        <w:pStyle w:val="ListBullet"/>
        <w:spacing w:after="60"/>
      </w:pPr>
      <w:r>
        <w:t>Model insights: six-model comparison, ROC curve, SHAP drivers, segment charts and report gallery.</w:t>
      </w:r>
    </w:p>
    <w:p>
      <w:pPr>
        <w:pStyle w:val="ListBullet"/>
        <w:spacing w:after="60"/>
      </w:pPr>
      <w:r>
        <w:t>Retention queue: saved actions with pending/contacted/accepted/declined workflow.</w:t>
      </w:r>
    </w:p>
    <w:p>
      <w:pPr>
        <w:pStyle w:val="ListBullet"/>
        <w:spacing w:after="60"/>
      </w:pPr>
      <w:r>
        <w:t>Score history: every API prediction, outcome feedback and SQLite status.</w:t>
      </w:r>
    </w:p>
    <w:p>
      <w:pPr>
        <w:jc w:val="center"/>
      </w:pPr>
      <w:r>
        <w:drawing>
          <wp:inline xmlns:a="http://schemas.openxmlformats.org/drawingml/2006/main" xmlns:pic="http://schemas.openxmlformats.org/drawingml/2006/picture">
            <wp:extent cx="5989320" cy="3743325"/>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989320" cy="3743325"/>
                    </a:xfrm>
                    <a:prstGeom prst="rect"/>
                  </pic:spPr>
                </pic:pic>
              </a:graphicData>
            </a:graphic>
          </wp:inline>
        </w:drawing>
      </w:r>
    </w:p>
    <w:p>
      <w:pPr>
        <w:jc w:val="center"/>
      </w:pPr>
      <w:r>
        <w:rPr>
          <w:i/>
          <w:color w:val="5E746B"/>
          <w:sz w:val="16"/>
        </w:rPr>
        <w:t>Overview: KPIs, risk distribution, model performance and the priority queue.</w:t>
      </w:r>
    </w:p>
    <w:p>
      <w:pPr>
        <w:jc w:val="center"/>
      </w:pPr>
      <w:r>
        <w:drawing>
          <wp:inline xmlns:a="http://schemas.openxmlformats.org/drawingml/2006/main" xmlns:pic="http://schemas.openxmlformats.org/drawingml/2006/picture">
            <wp:extent cx="5989320" cy="3743325"/>
            <wp:docPr id="2" name="Picture 2"/>
            <wp:cNvGraphicFramePr>
              <a:graphicFrameLocks noChangeAspect="1"/>
            </wp:cNvGraphicFramePr>
            <a:graphic>
              <a:graphicData uri="http://schemas.openxmlformats.org/drawingml/2006/picture">
                <pic:pic>
                  <pic:nvPicPr>
                    <pic:cNvPr id="0" name="customer_drawer.png"/>
                    <pic:cNvPicPr/>
                  </pic:nvPicPr>
                  <pic:blipFill>
                    <a:blip r:embed="rId12"/>
                    <a:stretch>
                      <a:fillRect/>
                    </a:stretch>
                  </pic:blipFill>
                  <pic:spPr>
                    <a:xfrm>
                      <a:off x="0" y="0"/>
                      <a:ext cx="5989320" cy="3743325"/>
                    </a:xfrm>
                    <a:prstGeom prst="rect"/>
                  </pic:spPr>
                </pic:pic>
              </a:graphicData>
            </a:graphic>
          </wp:inline>
        </w:drawing>
      </w:r>
    </w:p>
    <w:p>
      <w:pPr>
        <w:jc w:val="center"/>
      </w:pPr>
      <w:r>
        <w:rPr>
          <w:i/>
          <w:color w:val="5E746B"/>
          <w:sz w:val="16"/>
        </w:rPr>
        <w:t>Customer drill-down: live probability, signed SHAP drivers and the retention playbook.</w:t>
      </w:r>
    </w:p>
    <w:p>
      <w:pPr>
        <w:jc w:val="center"/>
      </w:pPr>
      <w:r>
        <w:drawing>
          <wp:inline xmlns:a="http://schemas.openxmlformats.org/drawingml/2006/main" xmlns:pic="http://schemas.openxmlformats.org/drawingml/2006/picture">
            <wp:extent cx="5989320" cy="3743325"/>
            <wp:docPr id="3" name="Picture 3"/>
            <wp:cNvGraphicFramePr>
              <a:graphicFrameLocks noChangeAspect="1"/>
            </wp:cNvGraphicFramePr>
            <a:graphic>
              <a:graphicData uri="http://schemas.openxmlformats.org/drawingml/2006/picture">
                <pic:pic>
                  <pic:nvPicPr>
                    <pic:cNvPr id="0" name="insights.png"/>
                    <pic:cNvPicPr/>
                  </pic:nvPicPr>
                  <pic:blipFill>
                    <a:blip r:embed="rId13"/>
                    <a:stretch>
                      <a:fillRect/>
                    </a:stretch>
                  </pic:blipFill>
                  <pic:spPr>
                    <a:xfrm>
                      <a:off x="0" y="0"/>
                      <a:ext cx="5989320" cy="3743325"/>
                    </a:xfrm>
                    <a:prstGeom prst="rect"/>
                  </pic:spPr>
                </pic:pic>
              </a:graphicData>
            </a:graphic>
          </wp:inline>
        </w:drawing>
      </w:r>
    </w:p>
    <w:p>
      <w:pPr>
        <w:jc w:val="center"/>
      </w:pPr>
      <w:r>
        <w:rPr>
          <w:i/>
          <w:color w:val="5E746B"/>
          <w:sz w:val="16"/>
        </w:rPr>
        <w:t>Model insights: comparison table, ROC curves, SHAP drivers and generated report figures.</w:t>
      </w:r>
    </w:p>
    <w:p>
      <w:pPr>
        <w:pStyle w:val="Heading2"/>
        <w:keepNext/>
        <w:spacing w:before="180" w:after="100"/>
      </w:pPr>
      <w:r>
        <w:t>12.2 SQLite: no install, no sign-in</w:t>
      </w:r>
    </w:p>
    <w:p>
      <w:pPr>
        <w:spacing w:after="140" w:line="307" w:lineRule="auto"/>
      </w:pPr>
      <w:r>
        <w:rPr>
          <w:i w:val="0"/>
        </w:rPr>
        <w:t>SQLite is embedded in Python's standard library. No database server, credentials or network service is required. The operational database lives at data/processed/churn.db and is created automatically on first API start. This is why the demo needs no sign-in: it is a local, single-team workspace.</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1944"/>
            <w:shd w:val="clear" w:color="auto" w:fill="0B3B2E"/>
            <w:tcMar>
              <w:top w:w="70" w:type="dxa"/>
              <w:bottom w:w="70" w:type="dxa"/>
              <w:start w:w="90" w:type="dxa"/>
              <w:end w:w="90" w:type="dxa"/>
            </w:tcMar>
          </w:tcPr>
          <w:p>
            <w:pPr>
              <w:spacing w:after="0"/>
            </w:pPr>
            <w:r>
              <w:rPr>
                <w:rFonts w:ascii="Calibri" w:hAnsi="Calibri"/>
                <w:b/>
                <w:color w:val="FFFFFF"/>
                <w:sz w:val="16"/>
              </w:rPr>
              <w:t>Table</w:t>
            </w:r>
          </w:p>
        </w:tc>
        <w:tc>
          <w:tcPr>
            <w:tcW w:type="dxa" w:w="3384"/>
            <w:shd w:val="clear" w:color="auto" w:fill="0B3B2E"/>
            <w:tcMar>
              <w:top w:w="70" w:type="dxa"/>
              <w:bottom w:w="70" w:type="dxa"/>
              <w:start w:w="90" w:type="dxa"/>
              <w:end w:w="90" w:type="dxa"/>
            </w:tcMar>
          </w:tcPr>
          <w:p>
            <w:pPr>
              <w:spacing w:after="0"/>
            </w:pPr>
            <w:r>
              <w:rPr>
                <w:rFonts w:ascii="Calibri" w:hAnsi="Calibri"/>
                <w:b/>
                <w:color w:val="FFFFFF"/>
                <w:sz w:val="16"/>
              </w:rPr>
              <w:t>Purpose</w:t>
            </w:r>
          </w:p>
        </w:tc>
        <w:tc>
          <w:tcPr>
            <w:tcW w:type="dxa" w:w="4752"/>
            <w:shd w:val="clear" w:color="auto" w:fill="0B3B2E"/>
            <w:tcMar>
              <w:top w:w="70" w:type="dxa"/>
              <w:bottom w:w="70" w:type="dxa"/>
              <w:start w:w="90" w:type="dxa"/>
              <w:end w:w="90" w:type="dxa"/>
            </w:tcMar>
          </w:tcPr>
          <w:p>
            <w:pPr>
              <w:spacing w:after="0"/>
            </w:pPr>
            <w:r>
              <w:rPr>
                <w:rFonts w:ascii="Calibri" w:hAnsi="Calibri"/>
                <w:b/>
                <w:color w:val="FFFFFF"/>
                <w:sz w:val="16"/>
              </w:rPr>
              <w:t>Key fields</w:t>
            </w:r>
          </w:p>
        </w:tc>
      </w:tr>
      <w:tr>
        <w:tc>
          <w:tcPr>
            <w:tcW w:type="dxa" w:w="1944"/>
            <w:tcMar>
              <w:top w:w="70" w:type="dxa"/>
              <w:bottom w:w="70" w:type="dxa"/>
              <w:start w:w="90" w:type="dxa"/>
              <w:end w:w="90" w:type="dxa"/>
            </w:tcMar>
          </w:tcPr>
          <w:p>
            <w:pPr>
              <w:spacing w:after="0" w:line="252" w:lineRule="auto"/>
            </w:pPr>
            <w:r>
              <w:rPr>
                <w:rFonts w:ascii="Calibri" w:hAnsi="Calibri"/>
                <w:color w:val="0B1F1A"/>
                <w:sz w:val="16"/>
              </w:rPr>
              <w:t>predictions</w:t>
            </w:r>
          </w:p>
        </w:tc>
        <w:tc>
          <w:tcPr>
            <w:tcW w:type="dxa" w:w="3384"/>
            <w:tcMar>
              <w:top w:w="70" w:type="dxa"/>
              <w:bottom w:w="70" w:type="dxa"/>
              <w:start w:w="90" w:type="dxa"/>
              <w:end w:w="90" w:type="dxa"/>
            </w:tcMar>
          </w:tcPr>
          <w:p>
            <w:pPr>
              <w:spacing w:after="0" w:line="252" w:lineRule="auto"/>
            </w:pPr>
            <w:r>
              <w:rPr>
                <w:rFonts w:ascii="Calibri" w:hAnsi="Calibri"/>
                <w:color w:val="0B1F1A"/>
                <w:sz w:val="16"/>
              </w:rPr>
              <w:t>Audit trail of every score served</w:t>
            </w:r>
          </w:p>
        </w:tc>
        <w:tc>
          <w:tcPr>
            <w:tcW w:type="dxa" w:w="4752"/>
            <w:tcMar>
              <w:top w:w="70" w:type="dxa"/>
              <w:bottom w:w="70" w:type="dxa"/>
              <w:start w:w="90" w:type="dxa"/>
              <w:end w:w="90" w:type="dxa"/>
            </w:tcMar>
          </w:tcPr>
          <w:p>
            <w:pPr>
              <w:spacing w:after="0" w:line="252" w:lineRule="auto"/>
            </w:pPr>
            <w:r>
              <w:rPr>
                <w:rFonts w:ascii="Calibri" w:hAnsi="Calibri"/>
                <w:color w:val="0B1F1A"/>
                <w:sz w:val="16"/>
              </w:rPr>
              <w:t>id, created_at, customer_id, probability, risk, threshold, revenue, payload</w:t>
            </w:r>
          </w:p>
        </w:tc>
      </w:tr>
      <w:tr>
        <w:tc>
          <w:tcPr>
            <w:tcW w:type="dxa" w:w="1944"/>
            <w:tcMar>
              <w:top w:w="70" w:type="dxa"/>
              <w:bottom w:w="70" w:type="dxa"/>
              <w:start w:w="90" w:type="dxa"/>
              <w:end w:w="90" w:type="dxa"/>
            </w:tcMar>
            <w:shd w:val="clear" w:color="auto" w:fill="F5FAF8"/>
          </w:tcPr>
          <w:p>
            <w:pPr>
              <w:spacing w:after="0" w:line="252" w:lineRule="auto"/>
            </w:pPr>
            <w:r>
              <w:rPr>
                <w:rFonts w:ascii="Calibri" w:hAnsi="Calibri"/>
                <w:color w:val="0B1F1A"/>
                <w:sz w:val="16"/>
              </w:rPr>
              <w:t>feedback</w:t>
            </w:r>
          </w:p>
        </w:tc>
        <w:tc>
          <w:tcPr>
            <w:tcW w:type="dxa" w:w="3384"/>
            <w:tcMar>
              <w:top w:w="70" w:type="dxa"/>
              <w:bottom w:w="70" w:type="dxa"/>
              <w:start w:w="90" w:type="dxa"/>
              <w:end w:w="90" w:type="dxa"/>
            </w:tcMar>
            <w:shd w:val="clear" w:color="auto" w:fill="F5FAF8"/>
          </w:tcPr>
          <w:p>
            <w:pPr>
              <w:spacing w:after="0" w:line="252" w:lineRule="auto"/>
            </w:pPr>
            <w:r>
              <w:rPr>
                <w:rFonts w:ascii="Calibri" w:hAnsi="Calibri"/>
                <w:color w:val="0B1F1A"/>
                <w:sz w:val="16"/>
              </w:rPr>
              <w:t>Observed outcome for a prediction</w:t>
            </w:r>
          </w:p>
        </w:tc>
        <w:tc>
          <w:tcPr>
            <w:tcW w:type="dxa" w:w="4752"/>
            <w:tcMar>
              <w:top w:w="70" w:type="dxa"/>
              <w:bottom w:w="70" w:type="dxa"/>
              <w:start w:w="90" w:type="dxa"/>
              <w:end w:w="90" w:type="dxa"/>
            </w:tcMar>
            <w:shd w:val="clear" w:color="auto" w:fill="F5FAF8"/>
          </w:tcPr>
          <w:p>
            <w:pPr>
              <w:spacing w:after="0" w:line="252" w:lineRule="auto"/>
            </w:pPr>
            <w:r>
              <w:rPr>
                <w:rFonts w:ascii="Calibri" w:hAnsi="Calibri"/>
                <w:color w:val="0B1F1A"/>
                <w:sz w:val="16"/>
              </w:rPr>
              <w:t>prediction_id, actual_churn, notes, created_at</w:t>
            </w:r>
          </w:p>
        </w:tc>
      </w:tr>
      <w:tr>
        <w:tc>
          <w:tcPr>
            <w:tcW w:type="dxa" w:w="1944"/>
            <w:tcMar>
              <w:top w:w="70" w:type="dxa"/>
              <w:bottom w:w="70" w:type="dxa"/>
              <w:start w:w="90" w:type="dxa"/>
              <w:end w:w="90" w:type="dxa"/>
            </w:tcMar>
          </w:tcPr>
          <w:p>
            <w:pPr>
              <w:spacing w:after="0" w:line="252" w:lineRule="auto"/>
            </w:pPr>
            <w:r>
              <w:rPr>
                <w:rFonts w:ascii="Calibri" w:hAnsi="Calibri"/>
                <w:color w:val="0B1F1A"/>
                <w:sz w:val="16"/>
              </w:rPr>
              <w:t>retention_actions</w:t>
            </w:r>
          </w:p>
        </w:tc>
        <w:tc>
          <w:tcPr>
            <w:tcW w:type="dxa" w:w="3384"/>
            <w:tcMar>
              <w:top w:w="70" w:type="dxa"/>
              <w:bottom w:w="70" w:type="dxa"/>
              <w:start w:w="90" w:type="dxa"/>
              <w:end w:w="90" w:type="dxa"/>
            </w:tcMar>
          </w:tcPr>
          <w:p>
            <w:pPr>
              <w:spacing w:after="0" w:line="252" w:lineRule="auto"/>
            </w:pPr>
            <w:r>
              <w:rPr>
                <w:rFonts w:ascii="Calibri" w:hAnsi="Calibri"/>
                <w:color w:val="0B1F1A"/>
                <w:sz w:val="16"/>
              </w:rPr>
              <w:t>Saved playbook actions</w:t>
            </w:r>
          </w:p>
        </w:tc>
        <w:tc>
          <w:tcPr>
            <w:tcW w:type="dxa" w:w="4752"/>
            <w:tcMar>
              <w:top w:w="70" w:type="dxa"/>
              <w:bottom w:w="70" w:type="dxa"/>
              <w:start w:w="90" w:type="dxa"/>
              <w:end w:w="90" w:type="dxa"/>
            </w:tcMar>
          </w:tcPr>
          <w:p>
            <w:pPr>
              <w:spacing w:after="0" w:line="252" w:lineRule="auto"/>
            </w:pPr>
            <w:r>
              <w:rPr>
                <w:rFonts w:ascii="Calibri" w:hAnsi="Calibri"/>
                <w:color w:val="0B1F1A"/>
                <w:sz w:val="16"/>
              </w:rPr>
              <w:t>customer_id, recommendation_id, title, offer, status, note, updated_at</w:t>
            </w:r>
          </w:p>
        </w:tc>
      </w:tr>
    </w:tbl>
    <w:p>
      <w:pPr>
        <w:spacing w:after="40"/>
      </w:pPr>
    </w:p>
    <w:p>
      <w:pPr>
        <w:spacing w:after="140" w:line="307" w:lineRule="auto"/>
      </w:pPr>
      <w:r>
        <w:rPr>
          <w:i w:val="0"/>
        </w:rPr>
        <w:t>WAL journaling keeps reads and writes stable during the demo. The action table enforces a unique (customer_id, recommendation_id) pair, so saving the same recommendation twice updates the existing action instead of duplicating it.</w:t>
      </w:r>
    </w:p>
    <w:p>
      <w:pPr>
        <w:pStyle w:val="Heading2"/>
        <w:keepNext/>
        <w:spacing w:before="180" w:after="100"/>
      </w:pPr>
      <w:r>
        <w:t>12.3 Step-by-step frontend tutorial</w:t>
      </w:r>
    </w:p>
    <w:p>
      <w:pPr>
        <w:spacing w:after="140" w:line="307" w:lineRule="auto"/>
      </w:pPr>
      <w:r>
        <w:rPr>
          <w:i w:val="0"/>
        </w:rPr>
        <w:t>This tutorial walks through the complete RetainIQ workflow, from starting the server to saving a retention action and recording the real outcome. It is written for the viva demo and for a first-time user who has never seen the system. No sign-in is required at any step.</w:t>
      </w:r>
    </w:p>
    <w:p>
      <w:pPr>
        <w:pStyle w:val="Heading3"/>
        <w:keepNext/>
        <w:spacing w:before="180" w:after="100"/>
      </w:pPr>
      <w:r>
        <w:t>12.3.1 Before you start</w:t>
      </w:r>
    </w:p>
    <w:p>
      <w:pPr>
        <w:spacing w:after="140" w:line="307" w:lineRule="auto"/>
      </w:pPr>
      <w:r>
        <w:rPr>
          <w:i w:val="0"/>
        </w:rPr>
        <w:t>The dashboard is served by FastAPI from the prebuilt React bundle. You only need Node.js if you want to modify the React source; the demo runs with Python alone.</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2409"/>
        <w:gridCol w:w="2409"/>
        <w:gridCol w:w="2409"/>
        <w:gridCol w:w="2409"/>
      </w:tblGrid>
      <w:tr>
        <w:trPr>
          <w:tblHeader w:val="true"/>
        </w:trPr>
        <w:tc>
          <w:tcPr>
            <w:tcW w:type="dxa" w:w="2232"/>
            <w:shd w:val="clear" w:color="auto" w:fill="0B3B2E"/>
            <w:tcMar>
              <w:top w:w="70" w:type="dxa"/>
              <w:bottom w:w="70" w:type="dxa"/>
              <w:start w:w="90" w:type="dxa"/>
              <w:end w:w="90" w:type="dxa"/>
            </w:tcMar>
          </w:tcPr>
          <w:p>
            <w:pPr>
              <w:spacing w:after="0"/>
            </w:pPr>
            <w:r>
              <w:rPr>
                <w:rFonts w:ascii="Calibri" w:hAnsi="Calibri"/>
                <w:b/>
                <w:color w:val="FFFFFF"/>
                <w:sz w:val="15"/>
              </w:rPr>
              <w:t>What you want to do</w:t>
            </w:r>
          </w:p>
        </w:tc>
        <w:tc>
          <w:tcPr>
            <w:tcW w:type="dxa" w:w="2088"/>
            <w:shd w:val="clear" w:color="auto" w:fill="0B3B2E"/>
            <w:tcMar>
              <w:top w:w="70" w:type="dxa"/>
              <w:bottom w:w="70" w:type="dxa"/>
              <w:start w:w="90" w:type="dxa"/>
              <w:end w:w="90" w:type="dxa"/>
            </w:tcMar>
          </w:tcPr>
          <w:p>
            <w:pPr>
              <w:spacing w:after="0"/>
            </w:pPr>
            <w:r>
              <w:rPr>
                <w:rFonts w:ascii="Calibri" w:hAnsi="Calibri"/>
                <w:b/>
                <w:color w:val="FFFFFF"/>
                <w:sz w:val="15"/>
              </w:rPr>
              <w:t>Requirements</w:t>
            </w:r>
          </w:p>
        </w:tc>
        <w:tc>
          <w:tcPr>
            <w:tcW w:type="dxa" w:w="2952"/>
            <w:shd w:val="clear" w:color="auto" w:fill="0B3B2E"/>
            <w:tcMar>
              <w:top w:w="70" w:type="dxa"/>
              <w:bottom w:w="70" w:type="dxa"/>
              <w:start w:w="90" w:type="dxa"/>
              <w:end w:w="90" w:type="dxa"/>
            </w:tcMar>
          </w:tcPr>
          <w:p>
            <w:pPr>
              <w:spacing w:after="0"/>
            </w:pPr>
            <w:r>
              <w:rPr>
                <w:rFonts w:ascii="Calibri" w:hAnsi="Calibri"/>
                <w:b/>
                <w:color w:val="FFFFFF"/>
                <w:sz w:val="15"/>
              </w:rPr>
              <w:t>Command</w:t>
            </w:r>
          </w:p>
        </w:tc>
        <w:tc>
          <w:tcPr>
            <w:tcW w:type="dxa" w:w="2376"/>
            <w:shd w:val="clear" w:color="auto" w:fill="0B3B2E"/>
            <w:tcMar>
              <w:top w:w="70" w:type="dxa"/>
              <w:bottom w:w="70" w:type="dxa"/>
              <w:start w:w="90" w:type="dxa"/>
              <w:end w:w="90" w:type="dxa"/>
            </w:tcMar>
          </w:tcPr>
          <w:p>
            <w:pPr>
              <w:spacing w:after="0"/>
            </w:pPr>
            <w:r>
              <w:rPr>
                <w:rFonts w:ascii="Calibri" w:hAnsi="Calibri"/>
                <w:b/>
                <w:color w:val="FFFFFF"/>
                <w:sz w:val="15"/>
              </w:rPr>
              <w:t>Open</w:t>
            </w:r>
          </w:p>
        </w:tc>
      </w:tr>
      <w:tr>
        <w:tc>
          <w:tcPr>
            <w:tcW w:type="dxa" w:w="2232"/>
            <w:tcMar>
              <w:top w:w="70" w:type="dxa"/>
              <w:bottom w:w="70" w:type="dxa"/>
              <w:start w:w="90" w:type="dxa"/>
              <w:end w:w="90" w:type="dxa"/>
            </w:tcMar>
          </w:tcPr>
          <w:p>
            <w:pPr>
              <w:spacing w:after="0" w:line="252" w:lineRule="auto"/>
            </w:pPr>
            <w:r>
              <w:rPr>
                <w:rFonts w:ascii="Calibri" w:hAnsi="Calibri"/>
                <w:color w:val="0B1F1A"/>
                <w:sz w:val="15"/>
              </w:rPr>
              <w:t>Run the demo (recommended)</w:t>
            </w:r>
          </w:p>
        </w:tc>
        <w:tc>
          <w:tcPr>
            <w:tcW w:type="dxa" w:w="2088"/>
            <w:tcMar>
              <w:top w:w="70" w:type="dxa"/>
              <w:bottom w:w="70" w:type="dxa"/>
              <w:start w:w="90" w:type="dxa"/>
              <w:end w:w="90" w:type="dxa"/>
            </w:tcMar>
          </w:tcPr>
          <w:p>
            <w:pPr>
              <w:spacing w:after="0" w:line="252" w:lineRule="auto"/>
            </w:pPr>
            <w:r>
              <w:rPr>
                <w:rFonts w:ascii="Calibri" w:hAnsi="Calibri"/>
                <w:color w:val="0B1F1A"/>
                <w:sz w:val="15"/>
              </w:rPr>
              <w:t>Python 3.12, uv, trained artifacts</w:t>
            </w:r>
          </w:p>
        </w:tc>
        <w:tc>
          <w:tcPr>
            <w:tcW w:type="dxa" w:w="2952"/>
            <w:tcMar>
              <w:top w:w="70" w:type="dxa"/>
              <w:bottom w:w="70" w:type="dxa"/>
              <w:start w:w="90" w:type="dxa"/>
              <w:end w:w="90" w:type="dxa"/>
            </w:tcMar>
          </w:tcPr>
          <w:p>
            <w:pPr>
              <w:spacing w:after="0" w:line="252" w:lineRule="auto"/>
            </w:pPr>
            <w:r>
              <w:rPr>
                <w:rFonts w:ascii="Calibri" w:hAnsi="Calibri"/>
                <w:color w:val="0B1F1A"/>
                <w:sz w:val="15"/>
              </w:rPr>
              <w:t>uv run churn-serve</w:t>
            </w:r>
          </w:p>
        </w:tc>
        <w:tc>
          <w:tcPr>
            <w:tcW w:type="dxa" w:w="2376"/>
            <w:tcMar>
              <w:top w:w="70" w:type="dxa"/>
              <w:bottom w:w="70" w:type="dxa"/>
              <w:start w:w="90" w:type="dxa"/>
              <w:end w:w="90" w:type="dxa"/>
            </w:tcMar>
          </w:tcPr>
          <w:p>
            <w:pPr>
              <w:spacing w:after="0" w:line="252" w:lineRule="auto"/>
            </w:pPr>
            <w:r>
              <w:rPr>
                <w:rFonts w:ascii="Calibri" w:hAnsi="Calibri"/>
                <w:color w:val="0B1F1A"/>
                <w:sz w:val="15"/>
              </w:rPr>
              <w:t>http://127.0.0.1:8000/app/</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5"/>
              </w:rPr>
              <w:t>Train first / retrain</w:t>
            </w:r>
          </w:p>
        </w:tc>
        <w:tc>
          <w:tcPr>
            <w:tcW w:type="dxa" w:w="2088"/>
            <w:tcMar>
              <w:top w:w="70" w:type="dxa"/>
              <w:bottom w:w="70" w:type="dxa"/>
              <w:start w:w="90" w:type="dxa"/>
              <w:end w:w="90" w:type="dxa"/>
            </w:tcMar>
            <w:shd w:val="clear" w:color="auto" w:fill="F5FAF8"/>
          </w:tcPr>
          <w:p>
            <w:pPr>
              <w:spacing w:after="0" w:line="252" w:lineRule="auto"/>
            </w:pPr>
            <w:r>
              <w:rPr>
                <w:rFonts w:ascii="Calibri" w:hAnsi="Calibri"/>
                <w:color w:val="0B1F1A"/>
                <w:sz w:val="15"/>
              </w:rPr>
              <w:t>Dataset in data/raw/</w:t>
            </w:r>
          </w:p>
        </w:tc>
        <w:tc>
          <w:tcPr>
            <w:tcW w:type="dxa" w:w="2952"/>
            <w:tcMar>
              <w:top w:w="70" w:type="dxa"/>
              <w:bottom w:w="70" w:type="dxa"/>
              <w:start w:w="90" w:type="dxa"/>
              <w:end w:w="90" w:type="dxa"/>
            </w:tcMar>
            <w:shd w:val="clear" w:color="auto" w:fill="F5FAF8"/>
          </w:tcPr>
          <w:p>
            <w:pPr>
              <w:spacing w:after="0" w:line="252" w:lineRule="auto"/>
            </w:pPr>
            <w:r>
              <w:rPr>
                <w:rFonts w:ascii="Calibri" w:hAnsi="Calibri"/>
                <w:color w:val="0B1F1A"/>
                <w:sz w:val="15"/>
              </w:rPr>
              <w:t>uv run churn-train</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5"/>
              </w:rPr>
              <w:t>Then start the server</w:t>
            </w:r>
          </w:p>
        </w:tc>
      </w:tr>
      <w:tr>
        <w:tc>
          <w:tcPr>
            <w:tcW w:type="dxa" w:w="2232"/>
            <w:tcMar>
              <w:top w:w="70" w:type="dxa"/>
              <w:bottom w:w="70" w:type="dxa"/>
              <w:start w:w="90" w:type="dxa"/>
              <w:end w:w="90" w:type="dxa"/>
            </w:tcMar>
          </w:tcPr>
          <w:p>
            <w:pPr>
              <w:spacing w:after="0" w:line="252" w:lineRule="auto"/>
            </w:pPr>
            <w:r>
              <w:rPr>
                <w:rFonts w:ascii="Calibri" w:hAnsi="Calibri"/>
                <w:color w:val="0B1F1A"/>
                <w:sz w:val="15"/>
              </w:rPr>
              <w:t>Edit the React frontend</w:t>
            </w:r>
          </w:p>
        </w:tc>
        <w:tc>
          <w:tcPr>
            <w:tcW w:type="dxa" w:w="2088"/>
            <w:tcMar>
              <w:top w:w="70" w:type="dxa"/>
              <w:bottom w:w="70" w:type="dxa"/>
              <w:start w:w="90" w:type="dxa"/>
              <w:end w:w="90" w:type="dxa"/>
            </w:tcMar>
          </w:tcPr>
          <w:p>
            <w:pPr>
              <w:spacing w:after="0" w:line="252" w:lineRule="auto"/>
            </w:pPr>
            <w:r>
              <w:rPr>
                <w:rFonts w:ascii="Calibri" w:hAnsi="Calibri"/>
                <w:color w:val="0B1F1A"/>
                <w:sz w:val="15"/>
              </w:rPr>
              <w:t>Node.js 22+, npm</w:t>
            </w:r>
          </w:p>
        </w:tc>
        <w:tc>
          <w:tcPr>
            <w:tcW w:type="dxa" w:w="2952"/>
            <w:tcMar>
              <w:top w:w="70" w:type="dxa"/>
              <w:bottom w:w="70" w:type="dxa"/>
              <w:start w:w="90" w:type="dxa"/>
              <w:end w:w="90" w:type="dxa"/>
            </w:tcMar>
          </w:tcPr>
          <w:p>
            <w:pPr>
              <w:spacing w:after="0" w:line="252" w:lineRule="auto"/>
            </w:pPr>
            <w:r>
              <w:rPr>
                <w:rFonts w:ascii="Calibri" w:hAnsi="Calibri"/>
                <w:color w:val="0B1F1A"/>
                <w:sz w:val="15"/>
              </w:rPr>
              <w:t>cd frontend &amp;&amp; npm install &amp;&amp; npm run dev</w:t>
            </w:r>
          </w:p>
        </w:tc>
        <w:tc>
          <w:tcPr>
            <w:tcW w:type="dxa" w:w="2376"/>
            <w:tcMar>
              <w:top w:w="70" w:type="dxa"/>
              <w:bottom w:w="70" w:type="dxa"/>
              <w:start w:w="90" w:type="dxa"/>
              <w:end w:w="90" w:type="dxa"/>
            </w:tcMar>
          </w:tcPr>
          <w:p>
            <w:pPr>
              <w:spacing w:after="0" w:line="252" w:lineRule="auto"/>
            </w:pPr>
            <w:r>
              <w:rPr>
                <w:rFonts w:ascii="Calibri" w:hAnsi="Calibri"/>
                <w:color w:val="0B1F1A"/>
                <w:sz w:val="15"/>
              </w:rPr>
              <w:t>http://127.0.0.1:5173/app/</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5"/>
              </w:rPr>
              <w:t>Rebuild the production bundle</w:t>
            </w:r>
          </w:p>
        </w:tc>
        <w:tc>
          <w:tcPr>
            <w:tcW w:type="dxa" w:w="2088"/>
            <w:tcMar>
              <w:top w:w="70" w:type="dxa"/>
              <w:bottom w:w="70" w:type="dxa"/>
              <w:start w:w="90" w:type="dxa"/>
              <w:end w:w="90" w:type="dxa"/>
            </w:tcMar>
            <w:shd w:val="clear" w:color="auto" w:fill="F5FAF8"/>
          </w:tcPr>
          <w:p>
            <w:pPr>
              <w:spacing w:after="0" w:line="252" w:lineRule="auto"/>
            </w:pPr>
            <w:r>
              <w:rPr>
                <w:rFonts w:ascii="Calibri" w:hAnsi="Calibri"/>
                <w:color w:val="0B1F1A"/>
                <w:sz w:val="15"/>
              </w:rPr>
              <w:t>Node.js 22+, npm</w:t>
            </w:r>
          </w:p>
        </w:tc>
        <w:tc>
          <w:tcPr>
            <w:tcW w:type="dxa" w:w="2952"/>
            <w:tcMar>
              <w:top w:w="70" w:type="dxa"/>
              <w:bottom w:w="70" w:type="dxa"/>
              <w:start w:w="90" w:type="dxa"/>
              <w:end w:w="90" w:type="dxa"/>
            </w:tcMar>
            <w:shd w:val="clear" w:color="auto" w:fill="F5FAF8"/>
          </w:tcPr>
          <w:p>
            <w:pPr>
              <w:spacing w:after="0" w:line="252" w:lineRule="auto"/>
            </w:pPr>
            <w:r>
              <w:rPr>
                <w:rFonts w:ascii="Calibri" w:hAnsi="Calibri"/>
                <w:color w:val="0B1F1A"/>
                <w:sz w:val="15"/>
              </w:rPr>
              <w:t>cd frontend &amp;&amp; npm run build</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5"/>
              </w:rPr>
              <w:t>FastAPI serves frontend/dist/</w:t>
            </w:r>
          </w:p>
        </w:tc>
      </w:tr>
    </w:tbl>
    <w:p>
      <w:pPr>
        <w:spacing w:after="40"/>
      </w:pPr>
    </w:p>
    <w:p>
      <w:pPr>
        <w:spacing w:after="80" w:line="288" w:lineRule="auto"/>
        <w:ind w:left="312" w:hanging="255"/>
      </w:pPr>
      <w:r>
        <w:rPr>
          <w:b/>
          <w:color w:val="0EA96F"/>
          <w:sz w:val="19"/>
        </w:rPr>
        <w:t>1.</w:t>
      </w:r>
      <w:r>
        <w:t xml:space="preserve">   Open a terminal in the project root.</w:t>
      </w:r>
    </w:p>
    <w:p>
      <w:pPr>
        <w:spacing w:after="80" w:line="288" w:lineRule="auto"/>
        <w:ind w:left="312" w:hanging="255"/>
      </w:pPr>
      <w:r>
        <w:rPr>
          <w:b/>
          <w:color w:val="0EA96F"/>
          <w:sz w:val="19"/>
        </w:rPr>
        <w:t>2.</w:t>
      </w:r>
      <w:r>
        <w:t xml:space="preserve">   If artifacts/model.joblib does not exist, run `uv run churn-train` first (about 30 seconds).</w:t>
      </w:r>
    </w:p>
    <w:p>
      <w:pPr>
        <w:spacing w:after="80" w:line="288" w:lineRule="auto"/>
        <w:ind w:left="312" w:hanging="255"/>
      </w:pPr>
      <w:r>
        <w:rPr>
          <w:b/>
          <w:color w:val="0EA96F"/>
          <w:sz w:val="19"/>
        </w:rPr>
        <w:t>3.</w:t>
      </w:r>
      <w:r>
        <w:t xml:space="preserve">   Start the server with `uv run churn-serve`. The default URL is http://127.0.0.1:8000.</w:t>
      </w:r>
    </w:p>
    <w:p>
      <w:pPr>
        <w:spacing w:after="80" w:line="288" w:lineRule="auto"/>
        <w:ind w:left="312" w:hanging="255"/>
      </w:pPr>
      <w:r>
        <w:rPr>
          <w:b/>
          <w:color w:val="0EA96F"/>
          <w:sz w:val="19"/>
        </w:rPr>
        <w:t>4.</w:t>
      </w:r>
      <w:r>
        <w:t xml:space="preserve">   Open http://127.0.0.1:8000/app/ in Chrome, Firefox or Edge. Keep the trailing slash.</w:t>
      </w:r>
    </w:p>
    <w:p>
      <w:pPr>
        <w:spacing w:after="80" w:line="288" w:lineRule="auto"/>
        <w:ind w:left="312" w:hanging="255"/>
      </w:pPr>
      <w:r>
        <w:rPr>
          <w:b/>
          <w:color w:val="0EA96F"/>
          <w:sz w:val="19"/>
        </w:rPr>
        <w:t>5.</w:t>
      </w:r>
      <w:r>
        <w:t xml:space="preserve">   Check the sidebar status chip. It should read 'Model online' with the model name and version.</w:t>
      </w:r>
    </w:p>
    <w:p>
      <w:pPr>
        <w:spacing w:after="80" w:line="288" w:lineRule="auto"/>
        <w:ind w:left="312" w:hanging="255"/>
      </w:pPr>
      <w:r>
        <w:rPr>
          <w:b/>
          <w:color w:val="0EA96F"/>
          <w:sz w:val="19"/>
        </w:rPr>
        <w:t>6.</w:t>
      </w:r>
      <w:r>
        <w:t xml:space="preserve">   Check the topbar: it shows the current page and a Refresh button. If the page is already cached, press Ctrl+F5.</w:t>
      </w:r>
    </w:p>
    <w:p>
      <w:pPr>
        <w:spacing w:after="80" w:line="288" w:lineRule="auto"/>
        <w:ind w:left="312" w:hanging="255"/>
      </w:pPr>
      <w:r>
        <w:rPr>
          <w:b/>
          <w:color w:val="0EA96F"/>
          <w:sz w:val="19"/>
        </w:rPr>
        <w:t>7.</w:t>
      </w:r>
      <w:r>
        <w:t xml:space="preserve">   Optional: open http://127.0.0.1:8000/docs for the interactive API reference.</w:t>
      </w:r>
    </w:p>
    <w:tbl>
      <w:tblPr>
        <w:tblW w:type="auto" w:w="0"/>
        <w:jc w:val="center"/>
        <w:tblLook w:firstColumn="1" w:firstRow="1" w:lastColumn="0" w:lastRow="0" w:noHBand="0" w:noVBand="1" w:val="04A0"/>
        <w:tblBorders>
          <w:top w:val="single" w:sz="6" w:space="0" w:color="BFE8D5"/>
          <w:left w:val="single" w:sz="6" w:space="0" w:color="BFE8D5"/>
          <w:bottom w:val="single" w:sz="6" w:space="0" w:color="BFE8D5"/>
          <w:right w:val="single" w:sz="6" w:space="0" w:color="BFE8D5"/>
          <w:insideH w:val="single" w:sz="6" w:space="0" w:color="BFE8D5"/>
          <w:insideV w:val="single" w:sz="6" w:space="0" w:color="BFE8D5"/>
        </w:tblBorders>
      </w:tblPr>
      <w:tblGrid>
        <w:gridCol w:w="9638"/>
      </w:tblGrid>
      <w:tr>
        <w:tc>
          <w:tcPr>
            <w:tcW w:type="dxa" w:w="9638"/>
            <w:shd w:val="clear" w:color="auto" w:fill="F1FAF6"/>
            <w:tcMar>
              <w:top w:w="130" w:type="dxa"/>
              <w:bottom w:w="130" w:type="dxa"/>
              <w:start w:w="170" w:type="dxa"/>
              <w:end w:w="170" w:type="dxa"/>
            </w:tcMar>
          </w:tcPr>
          <w:p>
            <w:pPr>
              <w:spacing w:after="60"/>
            </w:pPr>
            <w:r>
              <w:rPr>
                <w:b/>
                <w:color w:val="0EA96F"/>
                <w:sz w:val="19"/>
              </w:rPr>
              <w:t>Fast path for the viva</w:t>
            </w:r>
          </w:p>
          <w:p>
            <w:pPr>
              <w:spacing w:after="0" w:line="288" w:lineRule="auto"/>
            </w:pPr>
            <w:r>
              <w:rPr>
                <w:color w:val="0B1F1A"/>
                <w:sz w:val="18"/>
              </w:rPr>
              <w:t>Run `uv run churn-train` once, then `uv run churn-serve`, then open /app/. The prebuilt React bundle is already in the repository, so Node.js is not needed on the presentation machine. The SQLite database is created automatically and starts empty.</w:t>
            </w:r>
          </w:p>
        </w:tc>
      </w:tr>
    </w:tbl>
    <w:p>
      <w:pPr>
        <w:spacing w:after="40"/>
      </w:pPr>
    </w:p>
    <w:p>
      <w:pPr>
        <w:pStyle w:val="Heading3"/>
        <w:keepNext/>
        <w:spacing w:before="180" w:after="100"/>
      </w:pPr>
      <w:r>
        <w:t>12.3.2 A 30-second interface tour</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1800"/>
            <w:shd w:val="clear" w:color="auto" w:fill="0B3B2E"/>
            <w:tcMar>
              <w:top w:w="70" w:type="dxa"/>
              <w:bottom w:w="70" w:type="dxa"/>
              <w:start w:w="90" w:type="dxa"/>
              <w:end w:w="90" w:type="dxa"/>
            </w:tcMar>
          </w:tcPr>
          <w:p>
            <w:pPr>
              <w:spacing w:after="0"/>
            </w:pPr>
            <w:r>
              <w:rPr>
                <w:rFonts w:ascii="Calibri" w:hAnsi="Calibri"/>
                <w:b/>
                <w:color w:val="FFFFFF"/>
                <w:sz w:val="16"/>
              </w:rPr>
              <w:t>Interface element</w:t>
            </w:r>
          </w:p>
        </w:tc>
        <w:tc>
          <w:tcPr>
            <w:tcW w:type="dxa" w:w="1584"/>
            <w:shd w:val="clear" w:color="auto" w:fill="0B3B2E"/>
            <w:tcMar>
              <w:top w:w="70" w:type="dxa"/>
              <w:bottom w:w="70" w:type="dxa"/>
              <w:start w:w="90" w:type="dxa"/>
              <w:end w:w="90" w:type="dxa"/>
            </w:tcMar>
          </w:tcPr>
          <w:p>
            <w:pPr>
              <w:spacing w:after="0"/>
            </w:pPr>
            <w:r>
              <w:rPr>
                <w:rFonts w:ascii="Calibri" w:hAnsi="Calibri"/>
                <w:b/>
                <w:color w:val="FFFFFF"/>
                <w:sz w:val="16"/>
              </w:rPr>
              <w:t>Where it is</w:t>
            </w:r>
          </w:p>
        </w:tc>
        <w:tc>
          <w:tcPr>
            <w:tcW w:type="dxa" w:w="6264"/>
            <w:shd w:val="clear" w:color="auto" w:fill="0B3B2E"/>
            <w:tcMar>
              <w:top w:w="70" w:type="dxa"/>
              <w:bottom w:w="70" w:type="dxa"/>
              <w:start w:w="90" w:type="dxa"/>
              <w:end w:w="90" w:type="dxa"/>
            </w:tcMar>
          </w:tcPr>
          <w:p>
            <w:pPr>
              <w:spacing w:after="0"/>
            </w:pPr>
            <w:r>
              <w:rPr>
                <w:rFonts w:ascii="Calibri" w:hAnsi="Calibri"/>
                <w:b/>
                <w:color w:val="FFFFFF"/>
                <w:sz w:val="16"/>
              </w:rPr>
              <w:t>What it does</w:t>
            </w:r>
          </w:p>
        </w:tc>
      </w:tr>
      <w:tr>
        <w:tc>
          <w:tcPr>
            <w:tcW w:type="dxa" w:w="1800"/>
            <w:tcMar>
              <w:top w:w="70" w:type="dxa"/>
              <w:bottom w:w="70" w:type="dxa"/>
              <w:start w:w="90" w:type="dxa"/>
              <w:end w:w="90" w:type="dxa"/>
            </w:tcMar>
          </w:tcPr>
          <w:p>
            <w:pPr>
              <w:spacing w:after="0" w:line="252" w:lineRule="auto"/>
            </w:pPr>
            <w:r>
              <w:rPr>
                <w:rFonts w:ascii="Calibri" w:hAnsi="Calibri"/>
                <w:color w:val="0B1F1A"/>
                <w:sz w:val="16"/>
              </w:rPr>
              <w:t>Sidebar</w:t>
            </w:r>
          </w:p>
        </w:tc>
        <w:tc>
          <w:tcPr>
            <w:tcW w:type="dxa" w:w="1584"/>
            <w:tcMar>
              <w:top w:w="70" w:type="dxa"/>
              <w:bottom w:w="70" w:type="dxa"/>
              <w:start w:w="90" w:type="dxa"/>
              <w:end w:w="90" w:type="dxa"/>
            </w:tcMar>
          </w:tcPr>
          <w:p>
            <w:pPr>
              <w:spacing w:after="0" w:line="252" w:lineRule="auto"/>
            </w:pPr>
            <w:r>
              <w:rPr>
                <w:rFonts w:ascii="Calibri" w:hAnsi="Calibri"/>
                <w:color w:val="0B1F1A"/>
                <w:sz w:val="16"/>
              </w:rPr>
              <w:t>Left</w:t>
            </w:r>
          </w:p>
        </w:tc>
        <w:tc>
          <w:tcPr>
            <w:tcW w:type="dxa" w:w="6264"/>
            <w:tcMar>
              <w:top w:w="70" w:type="dxa"/>
              <w:bottom w:w="70" w:type="dxa"/>
              <w:start w:w="90" w:type="dxa"/>
              <w:end w:w="90" w:type="dxa"/>
            </w:tcMar>
          </w:tcPr>
          <w:p>
            <w:pPr>
              <w:spacing w:after="0" w:line="252" w:lineRule="auto"/>
            </w:pPr>
            <w:r>
              <w:rPr>
                <w:rFonts w:ascii="Calibri" w:hAnsi="Calibri"/>
                <w:color w:val="0B1F1A"/>
                <w:sz w:val="16"/>
              </w:rPr>
              <w:t>Switch between Overview, Customers, Score customer, Insights, Queue and History; shows pending queue count and model status.</w:t>
            </w:r>
          </w:p>
        </w:tc>
      </w:tr>
      <w:tr>
        <w:tc>
          <w:tcPr>
            <w:tcW w:type="dxa" w:w="1800"/>
            <w:tcMar>
              <w:top w:w="70" w:type="dxa"/>
              <w:bottom w:w="70" w:type="dxa"/>
              <w:start w:w="90" w:type="dxa"/>
              <w:end w:w="90" w:type="dxa"/>
            </w:tcMar>
            <w:shd w:val="clear" w:color="auto" w:fill="F5FAF8"/>
          </w:tcPr>
          <w:p>
            <w:pPr>
              <w:spacing w:after="0" w:line="252" w:lineRule="auto"/>
            </w:pPr>
            <w:r>
              <w:rPr>
                <w:rFonts w:ascii="Calibri" w:hAnsi="Calibri"/>
                <w:color w:val="0B1F1A"/>
                <w:sz w:val="16"/>
              </w:rPr>
              <w:t>Topbar</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Top</w:t>
            </w:r>
          </w:p>
        </w:tc>
        <w:tc>
          <w:tcPr>
            <w:tcW w:type="dxa" w:w="6264"/>
            <w:tcMar>
              <w:top w:w="70" w:type="dxa"/>
              <w:bottom w:w="70" w:type="dxa"/>
              <w:start w:w="90" w:type="dxa"/>
              <w:end w:w="90" w:type="dxa"/>
            </w:tcMar>
            <w:shd w:val="clear" w:color="auto" w:fill="F5FAF8"/>
          </w:tcPr>
          <w:p>
            <w:pPr>
              <w:spacing w:after="0" w:line="252" w:lineRule="auto"/>
            </w:pPr>
            <w:r>
              <w:rPr>
                <w:rFonts w:ascii="Calibri" w:hAnsi="Calibri"/>
                <w:color w:val="0B1F1A"/>
                <w:sz w:val="16"/>
              </w:rPr>
              <w:t>Breadcrumb, live data timestamp, Refresh, and a shortcut to Score customer.</w:t>
            </w:r>
          </w:p>
        </w:tc>
      </w:tr>
      <w:tr>
        <w:tc>
          <w:tcPr>
            <w:tcW w:type="dxa" w:w="1800"/>
            <w:tcMar>
              <w:top w:w="70" w:type="dxa"/>
              <w:bottom w:w="70" w:type="dxa"/>
              <w:start w:w="90" w:type="dxa"/>
              <w:end w:w="90" w:type="dxa"/>
            </w:tcMar>
          </w:tcPr>
          <w:p>
            <w:pPr>
              <w:spacing w:after="0" w:line="252" w:lineRule="auto"/>
            </w:pPr>
            <w:r>
              <w:rPr>
                <w:rFonts w:ascii="Calibri" w:hAnsi="Calibri"/>
                <w:color w:val="0B1F1A"/>
                <w:sz w:val="16"/>
              </w:rPr>
              <w:t>KPI cards</w:t>
            </w:r>
          </w:p>
        </w:tc>
        <w:tc>
          <w:tcPr>
            <w:tcW w:type="dxa" w:w="1584"/>
            <w:tcMar>
              <w:top w:w="70" w:type="dxa"/>
              <w:bottom w:w="70" w:type="dxa"/>
              <w:start w:w="90" w:type="dxa"/>
              <w:end w:w="90" w:type="dxa"/>
            </w:tcMar>
          </w:tcPr>
          <w:p>
            <w:pPr>
              <w:spacing w:after="0" w:line="252" w:lineRule="auto"/>
            </w:pPr>
            <w:r>
              <w:rPr>
                <w:rFonts w:ascii="Calibri" w:hAnsi="Calibri"/>
                <w:color w:val="0B1F1A"/>
                <w:sz w:val="16"/>
              </w:rPr>
              <w:t>Overview</w:t>
            </w:r>
          </w:p>
        </w:tc>
        <w:tc>
          <w:tcPr>
            <w:tcW w:type="dxa" w:w="6264"/>
            <w:tcMar>
              <w:top w:w="70" w:type="dxa"/>
              <w:bottom w:w="70" w:type="dxa"/>
              <w:start w:w="90" w:type="dxa"/>
              <w:end w:w="90" w:type="dxa"/>
            </w:tcMar>
          </w:tcPr>
          <w:p>
            <w:pPr>
              <w:spacing w:after="0" w:line="252" w:lineRule="auto"/>
            </w:pPr>
            <w:r>
              <w:rPr>
                <w:rFonts w:ascii="Calibri" w:hAnsi="Calibri"/>
                <w:color w:val="0B1F1A"/>
                <w:sz w:val="16"/>
              </w:rPr>
              <w:t>Customer book, churn rate, high-risk count and annual revenue at risk.</w:t>
            </w:r>
          </w:p>
        </w:tc>
      </w:tr>
      <w:tr>
        <w:tc>
          <w:tcPr>
            <w:tcW w:type="dxa" w:w="1800"/>
            <w:tcMar>
              <w:top w:w="70" w:type="dxa"/>
              <w:bottom w:w="70" w:type="dxa"/>
              <w:start w:w="90" w:type="dxa"/>
              <w:end w:w="90" w:type="dxa"/>
            </w:tcMar>
            <w:shd w:val="clear" w:color="auto" w:fill="F5FAF8"/>
          </w:tcPr>
          <w:p>
            <w:pPr>
              <w:spacing w:after="0" w:line="252" w:lineRule="auto"/>
            </w:pPr>
            <w:r>
              <w:rPr>
                <w:rFonts w:ascii="Calibri" w:hAnsi="Calibri"/>
                <w:color w:val="0B1F1A"/>
                <w:sz w:val="16"/>
              </w:rPr>
              <w:t>Risk tabs</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Customers</w:t>
            </w:r>
          </w:p>
        </w:tc>
        <w:tc>
          <w:tcPr>
            <w:tcW w:type="dxa" w:w="6264"/>
            <w:tcMar>
              <w:top w:w="70" w:type="dxa"/>
              <w:bottom w:w="70" w:type="dxa"/>
              <w:start w:w="90" w:type="dxa"/>
              <w:end w:w="90" w:type="dxa"/>
            </w:tcMar>
            <w:shd w:val="clear" w:color="auto" w:fill="F5FAF8"/>
          </w:tcPr>
          <w:p>
            <w:pPr>
              <w:spacing w:after="0" w:line="252" w:lineRule="auto"/>
            </w:pPr>
            <w:r>
              <w:rPr>
                <w:rFonts w:ascii="Calibri" w:hAnsi="Calibri"/>
                <w:color w:val="0B1F1A"/>
                <w:sz w:val="16"/>
              </w:rPr>
              <w:t>Switch between high, medium and low risk bands.</w:t>
            </w:r>
          </w:p>
        </w:tc>
      </w:tr>
      <w:tr>
        <w:tc>
          <w:tcPr>
            <w:tcW w:type="dxa" w:w="1800"/>
            <w:tcMar>
              <w:top w:w="70" w:type="dxa"/>
              <w:bottom w:w="70" w:type="dxa"/>
              <w:start w:w="90" w:type="dxa"/>
              <w:end w:w="90" w:type="dxa"/>
            </w:tcMar>
          </w:tcPr>
          <w:p>
            <w:pPr>
              <w:spacing w:after="0" w:line="252" w:lineRule="auto"/>
            </w:pPr>
            <w:r>
              <w:rPr>
                <w:rFonts w:ascii="Calibri" w:hAnsi="Calibri"/>
                <w:color w:val="0B1F1A"/>
                <w:sz w:val="16"/>
              </w:rPr>
              <w:t>Search box</w:t>
            </w:r>
          </w:p>
        </w:tc>
        <w:tc>
          <w:tcPr>
            <w:tcW w:type="dxa" w:w="1584"/>
            <w:tcMar>
              <w:top w:w="70" w:type="dxa"/>
              <w:bottom w:w="70" w:type="dxa"/>
              <w:start w:w="90" w:type="dxa"/>
              <w:end w:w="90" w:type="dxa"/>
            </w:tcMar>
          </w:tcPr>
          <w:p>
            <w:pPr>
              <w:spacing w:after="0" w:line="252" w:lineRule="auto"/>
            </w:pPr>
            <w:r>
              <w:rPr>
                <w:rFonts w:ascii="Calibri" w:hAnsi="Calibri"/>
                <w:color w:val="0B1F1A"/>
                <w:sz w:val="16"/>
              </w:rPr>
              <w:t>Customers</w:t>
            </w:r>
          </w:p>
        </w:tc>
        <w:tc>
          <w:tcPr>
            <w:tcW w:type="dxa" w:w="6264"/>
            <w:tcMar>
              <w:top w:w="70" w:type="dxa"/>
              <w:bottom w:w="70" w:type="dxa"/>
              <w:start w:w="90" w:type="dxa"/>
              <w:end w:w="90" w:type="dxa"/>
            </w:tcMar>
          </w:tcPr>
          <w:p>
            <w:pPr>
              <w:spacing w:after="0" w:line="252" w:lineRule="auto"/>
            </w:pPr>
            <w:r>
              <w:rPr>
                <w:rFonts w:ascii="Calibri" w:hAnsi="Calibri"/>
                <w:color w:val="0B1F1A"/>
                <w:sz w:val="16"/>
              </w:rPr>
              <w:t>Filters the loaded band by customer ID, contract, payment method, internet service or top driver.</w:t>
            </w:r>
          </w:p>
        </w:tc>
      </w:tr>
      <w:tr>
        <w:tc>
          <w:tcPr>
            <w:tcW w:type="dxa" w:w="1800"/>
            <w:tcMar>
              <w:top w:w="70" w:type="dxa"/>
              <w:bottom w:w="70" w:type="dxa"/>
              <w:start w:w="90" w:type="dxa"/>
              <w:end w:w="90" w:type="dxa"/>
            </w:tcMar>
            <w:shd w:val="clear" w:color="auto" w:fill="F5FAF8"/>
          </w:tcPr>
          <w:p>
            <w:pPr>
              <w:spacing w:after="0" w:line="252" w:lineRule="auto"/>
            </w:pPr>
            <w:r>
              <w:rPr>
                <w:rFonts w:ascii="Calibri" w:hAnsi="Calibri"/>
                <w:color w:val="0B1F1A"/>
                <w:sz w:val="16"/>
              </w:rPr>
              <w:t>Table row</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Customers</w:t>
            </w:r>
          </w:p>
        </w:tc>
        <w:tc>
          <w:tcPr>
            <w:tcW w:type="dxa" w:w="6264"/>
            <w:tcMar>
              <w:top w:w="70" w:type="dxa"/>
              <w:bottom w:w="70" w:type="dxa"/>
              <w:start w:w="90" w:type="dxa"/>
              <w:end w:w="90" w:type="dxa"/>
            </w:tcMar>
            <w:shd w:val="clear" w:color="auto" w:fill="F5FAF8"/>
          </w:tcPr>
          <w:p>
            <w:pPr>
              <w:spacing w:after="0" w:line="252" w:lineRule="auto"/>
            </w:pPr>
            <w:r>
              <w:rPr>
                <w:rFonts w:ascii="Calibri" w:hAnsi="Calibri"/>
                <w:color w:val="0B1F1A"/>
                <w:sz w:val="16"/>
              </w:rPr>
              <w:t>Opens the customer drawer with a live score, SHAP drivers and playbook.</w:t>
            </w:r>
          </w:p>
        </w:tc>
      </w:tr>
      <w:tr>
        <w:tc>
          <w:tcPr>
            <w:tcW w:type="dxa" w:w="1800"/>
            <w:tcMar>
              <w:top w:w="70" w:type="dxa"/>
              <w:bottom w:w="70" w:type="dxa"/>
              <w:start w:w="90" w:type="dxa"/>
              <w:end w:w="90" w:type="dxa"/>
            </w:tcMar>
          </w:tcPr>
          <w:p>
            <w:pPr>
              <w:spacing w:after="0" w:line="252" w:lineRule="auto"/>
            </w:pPr>
            <w:r>
              <w:rPr>
                <w:rFonts w:ascii="Calibri" w:hAnsi="Calibri"/>
                <w:color w:val="0B1F1A"/>
                <w:sz w:val="16"/>
              </w:rPr>
              <w:t>Drawer</w:t>
            </w:r>
          </w:p>
        </w:tc>
        <w:tc>
          <w:tcPr>
            <w:tcW w:type="dxa" w:w="1584"/>
            <w:tcMar>
              <w:top w:w="70" w:type="dxa"/>
              <w:bottom w:w="70" w:type="dxa"/>
              <w:start w:w="90" w:type="dxa"/>
              <w:end w:w="90" w:type="dxa"/>
            </w:tcMar>
          </w:tcPr>
          <w:p>
            <w:pPr>
              <w:spacing w:after="0" w:line="252" w:lineRule="auto"/>
            </w:pPr>
            <w:r>
              <w:rPr>
                <w:rFonts w:ascii="Calibri" w:hAnsi="Calibri"/>
                <w:color w:val="0B1F1A"/>
                <w:sz w:val="16"/>
              </w:rPr>
              <w:t>Right side</w:t>
            </w:r>
          </w:p>
        </w:tc>
        <w:tc>
          <w:tcPr>
            <w:tcW w:type="dxa" w:w="6264"/>
            <w:tcMar>
              <w:top w:w="70" w:type="dxa"/>
              <w:bottom w:w="70" w:type="dxa"/>
              <w:start w:w="90" w:type="dxa"/>
              <w:end w:w="90" w:type="dxa"/>
            </w:tcMar>
          </w:tcPr>
          <w:p>
            <w:pPr>
              <w:spacing w:after="0" w:line="252" w:lineRule="auto"/>
            </w:pPr>
            <w:r>
              <w:rPr>
                <w:rFonts w:ascii="Calibri" w:hAnsi="Calibri"/>
                <w:color w:val="0B1F1A"/>
                <w:sz w:val="16"/>
              </w:rPr>
              <w:t>Detailed explanation and recommendations; closes with X, Esc or a click on the dimmed background.</w:t>
            </w:r>
          </w:p>
        </w:tc>
      </w:tr>
      <w:tr>
        <w:tc>
          <w:tcPr>
            <w:tcW w:type="dxa" w:w="1800"/>
            <w:tcMar>
              <w:top w:w="70" w:type="dxa"/>
              <w:bottom w:w="70" w:type="dxa"/>
              <w:start w:w="90" w:type="dxa"/>
              <w:end w:w="90" w:type="dxa"/>
            </w:tcMar>
            <w:shd w:val="clear" w:color="auto" w:fill="F5FAF8"/>
          </w:tcPr>
          <w:p>
            <w:pPr>
              <w:spacing w:after="0" w:line="252" w:lineRule="auto"/>
            </w:pPr>
            <w:r>
              <w:rPr>
                <w:rFonts w:ascii="Calibri" w:hAnsi="Calibri"/>
                <w:color w:val="0B1F1A"/>
                <w:sz w:val="16"/>
              </w:rPr>
              <w:t>Queue badge</w:t>
            </w:r>
          </w:p>
        </w:tc>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Sidebar</w:t>
            </w:r>
          </w:p>
        </w:tc>
        <w:tc>
          <w:tcPr>
            <w:tcW w:type="dxa" w:w="6264"/>
            <w:tcMar>
              <w:top w:w="70" w:type="dxa"/>
              <w:bottom w:w="70" w:type="dxa"/>
              <w:start w:w="90" w:type="dxa"/>
              <w:end w:w="90" w:type="dxa"/>
            </w:tcMar>
            <w:shd w:val="clear" w:color="auto" w:fill="F5FAF8"/>
          </w:tcPr>
          <w:p>
            <w:pPr>
              <w:spacing w:after="0" w:line="252" w:lineRule="auto"/>
            </w:pPr>
            <w:r>
              <w:rPr>
                <w:rFonts w:ascii="Calibri" w:hAnsi="Calibri"/>
                <w:color w:val="0B1F1A"/>
                <w:sz w:val="16"/>
              </w:rPr>
              <w:t>Number of pending retention actions waiting for the team.</w:t>
            </w:r>
          </w:p>
        </w:tc>
      </w:tr>
      <w:tr>
        <w:tc>
          <w:tcPr>
            <w:tcW w:type="dxa" w:w="1800"/>
            <w:tcMar>
              <w:top w:w="70" w:type="dxa"/>
              <w:bottom w:w="70" w:type="dxa"/>
              <w:start w:w="90" w:type="dxa"/>
              <w:end w:w="90" w:type="dxa"/>
            </w:tcMar>
          </w:tcPr>
          <w:p>
            <w:pPr>
              <w:spacing w:after="0" w:line="252" w:lineRule="auto"/>
            </w:pPr>
            <w:r>
              <w:rPr>
                <w:rFonts w:ascii="Calibri" w:hAnsi="Calibri"/>
                <w:color w:val="0B1F1A"/>
                <w:sz w:val="16"/>
              </w:rPr>
              <w:t>Toast</w:t>
            </w:r>
          </w:p>
        </w:tc>
        <w:tc>
          <w:tcPr>
            <w:tcW w:type="dxa" w:w="1584"/>
            <w:tcMar>
              <w:top w:w="70" w:type="dxa"/>
              <w:bottom w:w="70" w:type="dxa"/>
              <w:start w:w="90" w:type="dxa"/>
              <w:end w:w="90" w:type="dxa"/>
            </w:tcMar>
          </w:tcPr>
          <w:p>
            <w:pPr>
              <w:spacing w:after="0" w:line="252" w:lineRule="auto"/>
            </w:pPr>
            <w:r>
              <w:rPr>
                <w:rFonts w:ascii="Calibri" w:hAnsi="Calibri"/>
                <w:color w:val="0B1F1A"/>
                <w:sz w:val="16"/>
              </w:rPr>
              <w:t>Bottom right</w:t>
            </w:r>
          </w:p>
        </w:tc>
        <w:tc>
          <w:tcPr>
            <w:tcW w:type="dxa" w:w="6264"/>
            <w:tcMar>
              <w:top w:w="70" w:type="dxa"/>
              <w:bottom w:w="70" w:type="dxa"/>
              <w:start w:w="90" w:type="dxa"/>
              <w:end w:w="90" w:type="dxa"/>
            </w:tcMar>
          </w:tcPr>
          <w:p>
            <w:pPr>
              <w:spacing w:after="0" w:line="252" w:lineRule="auto"/>
            </w:pPr>
            <w:r>
              <w:rPr>
                <w:rFonts w:ascii="Calibri" w:hAnsi="Calibri"/>
                <w:color w:val="0B1F1A"/>
                <w:sz w:val="16"/>
              </w:rPr>
              <w:t>Confirms scoring, saving actions, status changes and feedback; errors appear in red.</w:t>
            </w:r>
          </w:p>
        </w:tc>
      </w:tr>
    </w:tbl>
    <w:p>
      <w:pPr>
        <w:spacing w:after="40"/>
      </w:pPr>
    </w:p>
    <w:p>
      <w:pPr>
        <w:pStyle w:val="Heading3"/>
        <w:keepNext/>
        <w:spacing w:before="180" w:after="100"/>
      </w:pPr>
      <w:r>
        <w:t>12.3.3 Tutorial 1 — read the overview</w:t>
      </w:r>
    </w:p>
    <w:p>
      <w:pPr>
        <w:spacing w:after="80" w:line="288" w:lineRule="auto"/>
        <w:ind w:left="312" w:hanging="255"/>
      </w:pPr>
      <w:r>
        <w:rPr>
          <w:b/>
          <w:color w:val="0EA96F"/>
          <w:sz w:val="19"/>
        </w:rPr>
        <w:t>1.</w:t>
      </w:r>
      <w:r>
        <w:t xml:space="preserve">   Open /app/. The Overview page loads automatically.</w:t>
      </w:r>
    </w:p>
    <w:p>
      <w:pPr>
        <w:spacing w:after="80" w:line="288" w:lineRule="auto"/>
        <w:ind w:left="312" w:hanging="255"/>
      </w:pPr>
      <w:r>
        <w:rPr>
          <w:b/>
          <w:color w:val="0EA96F"/>
          <w:sz w:val="19"/>
        </w:rPr>
        <w:t>2.</w:t>
      </w:r>
      <w:r>
        <w:t xml:space="preserve">   Read the four KPI cards from left to right: total customers (7,043), historical churn (26.5%), high-risk customers (1,002) and annual revenue at risk ($705,663 for the high band).</w:t>
      </w:r>
    </w:p>
    <w:p>
      <w:pPr>
        <w:spacing w:after="80" w:line="288" w:lineRule="auto"/>
        <w:ind w:left="312" w:hanging="255"/>
      </w:pPr>
      <w:r>
        <w:rPr>
          <w:b/>
          <w:color w:val="0EA96F"/>
          <w:sz w:val="19"/>
        </w:rPr>
        <w:t>3.</w:t>
      </w:r>
      <w:r>
        <w:t xml:space="preserve">   Inspect the risk donut. Red is high risk, amber is medium and mint is low. The legend shows counts and shares.</w:t>
      </w:r>
    </w:p>
    <w:p>
      <w:pPr>
        <w:spacing w:after="80" w:line="288" w:lineRule="auto"/>
        <w:ind w:left="312" w:hanging="255"/>
      </w:pPr>
      <w:r>
        <w:rPr>
          <w:b/>
          <w:color w:val="0EA96F"/>
          <w:sz w:val="19"/>
        </w:rPr>
        <w:t>4.</w:t>
      </w:r>
      <w:r>
        <w:t xml:space="preserve">   Look at 'Churn by contract'. Month-to-month customers churn at 42.7%, versus 11.3% for one year and 2.8% for two years. This motivates the annual-contract playbook.</w:t>
      </w:r>
    </w:p>
    <w:p>
      <w:pPr>
        <w:spacing w:after="80" w:line="288" w:lineRule="auto"/>
        <w:ind w:left="312" w:hanging="255"/>
      </w:pPr>
      <w:r>
        <w:rPr>
          <w:b/>
          <w:color w:val="0EA96F"/>
          <w:sz w:val="19"/>
        </w:rPr>
        <w:t>5.</w:t>
      </w:r>
      <w:r>
        <w:t xml:space="preserve">   Read the 'Model performance' panel. The gauge shows the held-out test ROC-AUC (0.846); the rows show recall at the deployed threshold, precision, F1 and Brier score.</w:t>
      </w:r>
    </w:p>
    <w:p>
      <w:pPr>
        <w:spacing w:after="80" w:line="288" w:lineRule="auto"/>
        <w:ind w:left="312" w:hanging="255"/>
      </w:pPr>
      <w:r>
        <w:rPr>
          <w:b/>
          <w:color w:val="0EA96F"/>
          <w:sz w:val="19"/>
        </w:rPr>
        <w:t>6.</w:t>
      </w:r>
      <w:r>
        <w:t xml:space="preserve">   Check 'Global churn drivers'. The bars are mean absolute SHAP values. Internet service, contract, tenure and monthly charges dominate.</w:t>
      </w:r>
    </w:p>
    <w:p>
      <w:pPr>
        <w:spacing w:after="80" w:line="288" w:lineRule="auto"/>
        <w:ind w:left="312" w:hanging="255"/>
      </w:pPr>
      <w:r>
        <w:rPr>
          <w:b/>
          <w:color w:val="0EA96F"/>
          <w:sz w:val="19"/>
        </w:rPr>
        <w:t>7.</w:t>
      </w:r>
      <w:r>
        <w:t xml:space="preserve">   Use 'Priority signals' on the hero to click a customer, or use 'Review high-risk queue' to open the full customer book.</w:t>
      </w:r>
    </w:p>
    <w:p>
      <w:pPr>
        <w:spacing w:after="80" w:line="288" w:lineRule="auto"/>
        <w:ind w:left="312" w:hanging="255"/>
      </w:pPr>
      <w:r>
        <w:rPr>
          <w:b/>
          <w:color w:val="0EA96F"/>
          <w:sz w:val="19"/>
        </w:rPr>
        <w:t>8.</w:t>
      </w:r>
      <w:r>
        <w:t xml:space="preserve">   Scroll to 'Recent scores' and 'Database'. On a fresh install both are empty; they populate as soon as you score a customer or save an action.</w:t>
      </w:r>
    </w:p>
    <w:p>
      <w:pPr>
        <w:pStyle w:val="Heading3"/>
        <w:keepNext/>
        <w:spacing w:before="180" w:after="100"/>
      </w:pPr>
      <w:r>
        <w:t>12.3.4 Tutorial 2 — find and open a customer</w:t>
      </w:r>
    </w:p>
    <w:p>
      <w:pPr>
        <w:spacing w:after="80" w:line="288" w:lineRule="auto"/>
        <w:ind w:left="312" w:hanging="255"/>
      </w:pPr>
      <w:r>
        <w:rPr>
          <w:b/>
          <w:color w:val="0EA96F"/>
          <w:sz w:val="19"/>
        </w:rPr>
        <w:t>1.</w:t>
      </w:r>
      <w:r>
        <w:t xml:space="preserve">   Click 'Customers' in the sidebar.</w:t>
      </w:r>
    </w:p>
    <w:p>
      <w:pPr>
        <w:spacing w:after="80" w:line="288" w:lineRule="auto"/>
        <w:ind w:left="312" w:hanging="255"/>
      </w:pPr>
      <w:r>
        <w:rPr>
          <w:b/>
          <w:color w:val="0EA96F"/>
          <w:sz w:val="19"/>
        </w:rPr>
        <w:t>2.</w:t>
      </w:r>
      <w:r>
        <w:t xml:space="preserve">   Use the High risk / Medium / Low tabs to choose a band. The default is High risk.</w:t>
      </w:r>
    </w:p>
    <w:p>
      <w:pPr>
        <w:spacing w:after="80" w:line="288" w:lineRule="auto"/>
        <w:ind w:left="312" w:hanging="255"/>
      </w:pPr>
      <w:r>
        <w:rPr>
          <w:b/>
          <w:color w:val="0EA96F"/>
          <w:sz w:val="19"/>
        </w:rPr>
        <w:t>3.</w:t>
      </w:r>
      <w:r>
        <w:t xml:space="preserve">   Type in the search box to filter by customer ID, contract, internet service, payment method or top risk driver.</w:t>
      </w:r>
    </w:p>
    <w:p>
      <w:pPr>
        <w:spacing w:after="80" w:line="288" w:lineRule="auto"/>
        <w:ind w:left="312" w:hanging="255"/>
      </w:pPr>
      <w:r>
        <w:rPr>
          <w:b/>
          <w:color w:val="0EA96F"/>
          <w:sz w:val="19"/>
        </w:rPr>
        <w:t>4.</w:t>
      </w:r>
      <w:r>
        <w:t xml:space="preserve">   Use the pagination arrows or page numbers to move through the loaded list. The header shows how many customers are loaded and how many exist in the band.</w:t>
      </w:r>
    </w:p>
    <w:p>
      <w:pPr>
        <w:spacing w:after="80" w:line="288" w:lineRule="auto"/>
        <w:ind w:left="312" w:hanging="255"/>
      </w:pPr>
      <w:r>
        <w:rPr>
          <w:b/>
          <w:color w:val="0EA96F"/>
          <w:sz w:val="19"/>
        </w:rPr>
        <w:t>5.</w:t>
      </w:r>
      <w:r>
        <w:t xml:space="preserve">   Click any table row. The drawer opens on the right with the live score.</w:t>
      </w:r>
    </w:p>
    <w:p>
      <w:pPr>
        <w:spacing w:after="80" w:line="288" w:lineRule="auto"/>
        <w:ind w:left="312" w:hanging="255"/>
      </w:pPr>
      <w:r>
        <w:rPr>
          <w:b/>
          <w:color w:val="0EA96F"/>
          <w:sz w:val="19"/>
        </w:rPr>
        <w:t>6.</w:t>
      </w:r>
      <w:r>
        <w:t xml:space="preserve">   Read the drawer header: customer ID, risk badge, probability gauge, decision threshold and the 'Likely to churn / Likely to stay' verdict.</w:t>
      </w:r>
    </w:p>
    <w:p>
      <w:pPr>
        <w:spacing w:after="80" w:line="288" w:lineRule="auto"/>
        <w:ind w:left="312" w:hanging="255"/>
      </w:pPr>
      <w:r>
        <w:rPr>
          <w:b/>
          <w:color w:val="0EA96F"/>
          <w:sz w:val="19"/>
        </w:rPr>
        <w:t>7.</w:t>
      </w:r>
      <w:r>
        <w:t xml:space="preserve">   Read the financial row: monthly charges, annual revenue at risk and estimated CLV.</w:t>
      </w:r>
    </w:p>
    <w:p>
      <w:pPr>
        <w:spacing w:after="80" w:line="288" w:lineRule="auto"/>
        <w:ind w:left="312" w:hanging="255"/>
      </w:pPr>
      <w:r>
        <w:rPr>
          <w:b/>
          <w:color w:val="0EA96F"/>
          <w:sz w:val="19"/>
        </w:rPr>
        <w:t>8.</w:t>
      </w:r>
      <w:r>
        <w:t xml:space="preserve">   Check 'Why this score'. A red bar increases churn risk; a green bar decreases it. The value shown is the customer's actual category/value, not a category the customer does not have.</w:t>
      </w:r>
    </w:p>
    <w:p>
      <w:pPr>
        <w:spacing w:after="80" w:line="288" w:lineRule="auto"/>
        <w:ind w:left="312" w:hanging="255"/>
      </w:pPr>
      <w:r>
        <w:rPr>
          <w:b/>
          <w:color w:val="0EA96F"/>
          <w:sz w:val="19"/>
        </w:rPr>
        <w:t>9.</w:t>
      </w:r>
      <w:r>
        <w:t xml:space="preserve">   Review 'Retention playbook'. Each card shows the action, description, concrete offer, category and priority (critical / high / medium).</w:t>
      </w:r>
    </w:p>
    <w:p>
      <w:pPr>
        <w:spacing w:after="80" w:line="288" w:lineRule="auto"/>
        <w:ind w:left="312" w:hanging="255"/>
      </w:pPr>
      <w:r>
        <w:rPr>
          <w:b/>
          <w:color w:val="0EA96F"/>
          <w:sz w:val="19"/>
        </w:rPr>
        <w:t>10.</w:t>
      </w:r>
      <w:r>
        <w:t xml:space="preserve">   Close the drawer with the X button, the Esc key, or a click on the dark backdrop.</w:t>
      </w:r>
    </w:p>
    <w:p>
      <w:pPr>
        <w:pStyle w:val="Heading3"/>
        <w:keepNext/>
        <w:spacing w:before="180" w:after="100"/>
      </w:pPr>
      <w:r>
        <w:t>12.3.5 Tutorial 3 — score a customer</w:t>
      </w:r>
    </w:p>
    <w:p>
      <w:pPr>
        <w:spacing w:after="80" w:line="288" w:lineRule="auto"/>
        <w:ind w:left="312" w:hanging="255"/>
      </w:pPr>
      <w:r>
        <w:rPr>
          <w:b/>
          <w:color w:val="0EA96F"/>
          <w:sz w:val="19"/>
        </w:rPr>
        <w:t>1.</w:t>
      </w:r>
      <w:r>
        <w:t xml:space="preserve">   Click 'Score customer' in the sidebar or the topbar.</w:t>
      </w:r>
    </w:p>
    <w:p>
      <w:pPr>
        <w:spacing w:after="80" w:line="288" w:lineRule="auto"/>
        <w:ind w:left="312" w:hanging="255"/>
      </w:pPr>
      <w:r>
        <w:rPr>
          <w:b/>
          <w:color w:val="0EA96F"/>
          <w:sz w:val="19"/>
        </w:rPr>
        <w:t>2.</w:t>
      </w:r>
      <w:r>
        <w:t xml:space="preserve">   Fill the Account, Services and Billing sections. Tenure and Monthly charges are mandatory; the other fields have defaults but should be completed for a realistic score.</w:t>
      </w:r>
    </w:p>
    <w:p>
      <w:pPr>
        <w:spacing w:after="80" w:line="288" w:lineRule="auto"/>
        <w:ind w:left="312" w:hanging="255"/>
      </w:pPr>
      <w:r>
        <w:rPr>
          <w:b/>
          <w:color w:val="0EA96F"/>
          <w:sz w:val="19"/>
        </w:rPr>
        <w:t>3.</w:t>
      </w:r>
      <w:r>
        <w:t xml:space="preserve">   Leave Total charges empty if you do not know it: the API derives it as tenure × monthly charges.</w:t>
      </w:r>
    </w:p>
    <w:p>
      <w:pPr>
        <w:spacing w:after="80" w:line="288" w:lineRule="auto"/>
        <w:ind w:left="312" w:hanging="255"/>
      </w:pPr>
      <w:r>
        <w:rPr>
          <w:b/>
          <w:color w:val="0EA96F"/>
          <w:sz w:val="19"/>
        </w:rPr>
        <w:t>4.</w:t>
      </w:r>
      <w:r>
        <w:t xml:space="preserve">   Click 'High-risk demo' to load a month-to-month fiber customer with a short tenure, or 'Low-risk demo' for a two-year customer with support services.</w:t>
      </w:r>
    </w:p>
    <w:p>
      <w:pPr>
        <w:spacing w:after="80" w:line="288" w:lineRule="auto"/>
        <w:ind w:left="312" w:hanging="255"/>
      </w:pPr>
      <w:r>
        <w:rPr>
          <w:b/>
          <w:color w:val="0EA96F"/>
          <w:sz w:val="19"/>
        </w:rPr>
        <w:t>5.</w:t>
      </w:r>
      <w:r>
        <w:t xml:space="preserve">   Click 'Score customer'. The right panel shows a loading state while the API computes the probability and SHAP values.</w:t>
      </w:r>
    </w:p>
    <w:p>
      <w:pPr>
        <w:spacing w:after="80" w:line="288" w:lineRule="auto"/>
        <w:ind w:left="312" w:hanging="255"/>
      </w:pPr>
      <w:r>
        <w:rPr>
          <w:b/>
          <w:color w:val="0EA96F"/>
          <w:sz w:val="19"/>
        </w:rPr>
        <w:t>6.</w:t>
      </w:r>
      <w:r>
        <w:t xml:space="preserve">   Read the probability gauge and compare it with the threshold. A score above 32% is flagged as a predicted churner.</w:t>
      </w:r>
    </w:p>
    <w:p>
      <w:pPr>
        <w:spacing w:after="80" w:line="288" w:lineRule="auto"/>
        <w:ind w:left="312" w:hanging="255"/>
      </w:pPr>
      <w:r>
        <w:rPr>
          <w:b/>
          <w:color w:val="0EA96F"/>
          <w:sz w:val="19"/>
        </w:rPr>
        <w:t>7.</w:t>
      </w:r>
      <w:r>
        <w:t xml:space="preserve">   Read the summary sentence. It names the strongest risk-increasing driver; the full signed list is shown below.</w:t>
      </w:r>
    </w:p>
    <w:p>
      <w:pPr>
        <w:spacing w:after="80" w:line="288" w:lineRule="auto"/>
        <w:ind w:left="312" w:hanging="255"/>
      </w:pPr>
      <w:r>
        <w:rPr>
          <w:b/>
          <w:color w:val="0EA96F"/>
          <w:sz w:val="19"/>
        </w:rPr>
        <w:t>8.</w:t>
      </w:r>
      <w:r>
        <w:t xml:space="preserve">   Inspect the three financial boxes: monthly charges, annual revenue at risk and estimated CLV.</w:t>
      </w:r>
    </w:p>
    <w:p>
      <w:pPr>
        <w:spacing w:after="80" w:line="288" w:lineRule="auto"/>
        <w:ind w:left="312" w:hanging="255"/>
      </w:pPr>
      <w:r>
        <w:rPr>
          <w:b/>
          <w:color w:val="0EA96F"/>
          <w:sz w:val="19"/>
        </w:rPr>
        <w:t>9.</w:t>
      </w:r>
      <w:r>
        <w:t xml:space="preserve">   Review the playbook. Add any action to the retention queue with its 'Add to queue' button; an ad-hoc demo profile is supported as long as a customer ID is present.</w:t>
      </w:r>
    </w:p>
    <w:p>
      <w:pPr>
        <w:spacing w:after="80" w:line="288" w:lineRule="auto"/>
        <w:ind w:left="312" w:hanging="255"/>
      </w:pPr>
      <w:r>
        <w:rPr>
          <w:b/>
          <w:color w:val="0EA96F"/>
          <w:sz w:val="19"/>
        </w:rPr>
        <w:t>10.</w:t>
      </w:r>
      <w:r>
        <w:t xml:space="preserve">   Try the low-risk demo and compare the drivers. The low-risk result should show protective factors and far fewer aggressive offers.</w:t>
      </w:r>
    </w:p>
    <w:p>
      <w:pPr>
        <w:jc w:val="center"/>
      </w:pPr>
      <w:r>
        <w:drawing>
          <wp:inline xmlns:a="http://schemas.openxmlformats.org/drawingml/2006/main" xmlns:pic="http://schemas.openxmlformats.org/drawingml/2006/picture">
            <wp:extent cx="5989320" cy="3743325"/>
            <wp:docPr id="4" name="Picture 4"/>
            <wp:cNvGraphicFramePr>
              <a:graphicFrameLocks noChangeAspect="1"/>
            </wp:cNvGraphicFramePr>
            <a:graphic>
              <a:graphicData uri="http://schemas.openxmlformats.org/drawingml/2006/picture">
                <pic:pic>
                  <pic:nvPicPr>
                    <pic:cNvPr id="0" name="predict_result.png"/>
                    <pic:cNvPicPr/>
                  </pic:nvPicPr>
                  <pic:blipFill>
                    <a:blip r:embed="rId14"/>
                    <a:stretch>
                      <a:fillRect/>
                    </a:stretch>
                  </pic:blipFill>
                  <pic:spPr>
                    <a:xfrm>
                      <a:off x="0" y="0"/>
                      <a:ext cx="5989320" cy="3743325"/>
                    </a:xfrm>
                    <a:prstGeom prst="rect"/>
                  </pic:spPr>
                </pic:pic>
              </a:graphicData>
            </a:graphic>
          </wp:inline>
        </w:drawing>
      </w:r>
    </w:p>
    <w:p>
      <w:pPr>
        <w:jc w:val="center"/>
      </w:pPr>
      <w:r>
        <w:rPr>
          <w:i/>
          <w:color w:val="5E746B"/>
          <w:sz w:val="16"/>
        </w:rPr>
        <w:t>Score customer result: probability gauge, signed SHAP drivers, financial exposure and the ranked retention playbook.</w:t>
      </w:r>
    </w:p>
    <w:tbl>
      <w:tblPr>
        <w:tblW w:type="auto" w:w="0"/>
        <w:jc w:val="center"/>
        <w:tblLook w:firstColumn="1" w:firstRow="1" w:lastColumn="0" w:lastRow="0" w:noHBand="0" w:noVBand="1" w:val="04A0"/>
        <w:tblBorders>
          <w:top w:val="single" w:sz="6" w:space="0" w:color="BFE8D5"/>
          <w:left w:val="single" w:sz="6" w:space="0" w:color="BFE8D5"/>
          <w:bottom w:val="single" w:sz="6" w:space="0" w:color="BFE8D5"/>
          <w:right w:val="single" w:sz="6" w:space="0" w:color="BFE8D5"/>
          <w:insideH w:val="single" w:sz="6" w:space="0" w:color="BFE8D5"/>
          <w:insideV w:val="single" w:sz="6" w:space="0" w:color="BFE8D5"/>
        </w:tblBorders>
      </w:tblPr>
      <w:tblGrid>
        <w:gridCol w:w="9638"/>
      </w:tblGrid>
      <w:tr>
        <w:tc>
          <w:tcPr>
            <w:tcW w:type="dxa" w:w="9638"/>
            <w:shd w:val="clear" w:color="auto" w:fill="F1FAF6"/>
            <w:tcMar>
              <w:top w:w="130" w:type="dxa"/>
              <w:bottom w:w="130" w:type="dxa"/>
              <w:start w:w="170" w:type="dxa"/>
              <w:end w:w="170" w:type="dxa"/>
            </w:tcMar>
          </w:tcPr>
          <w:p>
            <w:pPr>
              <w:spacing w:after="60"/>
            </w:pPr>
            <w:r>
              <w:rPr>
                <w:b/>
                <w:color w:val="0EA96F"/>
                <w:sz w:val="19"/>
              </w:rPr>
              <w:t>Required fields and normalisation</w:t>
            </w:r>
          </w:p>
          <w:p>
            <w:pPr>
              <w:spacing w:after="0" w:line="288" w:lineRule="auto"/>
            </w:pPr>
            <w:r>
              <w:rPr>
                <w:color w:val="0B1F1A"/>
                <w:sz w:val="18"/>
              </w:rPr>
              <w:t>The API requires tenure and MonthlyCharges. If you select InternetService = No, internet add-ons are normalised to 'No internet service'; if PhoneService = No, MultipleLines becomes 'No phone service'. Invalid values such as tenure &gt; 100, unknown categories or an extra field return a clear 422 error.</w:t>
            </w:r>
          </w:p>
        </w:tc>
      </w:tr>
    </w:tbl>
    <w:p>
      <w:pPr>
        <w:spacing w:after="40"/>
      </w:pPr>
    </w:p>
    <w:p>
      <w:pPr>
        <w:pStyle w:val="Heading3"/>
        <w:keepNext/>
        <w:spacing w:before="180" w:after="100"/>
      </w:pPr>
      <w:r>
        <w:t>12.3.6 Tutorial 4 — save an action and work the queue</w:t>
      </w:r>
    </w:p>
    <w:p>
      <w:pPr>
        <w:spacing w:after="80" w:line="288" w:lineRule="auto"/>
        <w:ind w:left="312" w:hanging="255"/>
      </w:pPr>
      <w:r>
        <w:rPr>
          <w:b/>
          <w:color w:val="0EA96F"/>
          <w:sz w:val="19"/>
        </w:rPr>
        <w:t>1.</w:t>
      </w:r>
      <w:r>
        <w:t xml:space="preserve">   In a customer drawer (or a prediction result), click 'Add to queue' on a recommendation.</w:t>
      </w:r>
    </w:p>
    <w:p>
      <w:pPr>
        <w:spacing w:after="80" w:line="288" w:lineRule="auto"/>
        <w:ind w:left="312" w:hanging="255"/>
      </w:pPr>
      <w:r>
        <w:rPr>
          <w:b/>
          <w:color w:val="0EA96F"/>
          <w:sz w:val="19"/>
        </w:rPr>
        <w:t>2.</w:t>
      </w:r>
      <w:r>
        <w:t xml:space="preserve">   Wait for the button to change to 'Saved to queue ✓'. A toast confirms the write.</w:t>
      </w:r>
    </w:p>
    <w:p>
      <w:pPr>
        <w:spacing w:after="80" w:line="288" w:lineRule="auto"/>
        <w:ind w:left="312" w:hanging="255"/>
      </w:pPr>
      <w:r>
        <w:rPr>
          <w:b/>
          <w:color w:val="0EA96F"/>
          <w:sz w:val="19"/>
        </w:rPr>
        <w:t>3.</w:t>
      </w:r>
      <w:r>
        <w:t xml:space="preserve">   Open 'Retention queue' from the sidebar. The pending badge decreases/increases with the workflow state.</w:t>
      </w:r>
    </w:p>
    <w:p>
      <w:pPr>
        <w:spacing w:after="80" w:line="288" w:lineRule="auto"/>
        <w:ind w:left="312" w:hanging="255"/>
      </w:pPr>
      <w:r>
        <w:rPr>
          <w:b/>
          <w:color w:val="0EA96F"/>
          <w:sz w:val="19"/>
        </w:rPr>
        <w:t>4.</w:t>
      </w:r>
      <w:r>
        <w:t xml:space="preserve">   Use the All / pending / contacted / accepted / declined tabs to filter the table.</w:t>
      </w:r>
    </w:p>
    <w:p>
      <w:pPr>
        <w:spacing w:after="80" w:line="288" w:lineRule="auto"/>
        <w:ind w:left="312" w:hanging="255"/>
      </w:pPr>
      <w:r>
        <w:rPr>
          <w:b/>
          <w:color w:val="0EA96F"/>
          <w:sz w:val="19"/>
        </w:rPr>
        <w:t>5.</w:t>
      </w:r>
      <w:r>
        <w:t xml:space="preserve">   Read a row: customer, recommendation title, offer, risk badge, status and last update time.</w:t>
      </w:r>
    </w:p>
    <w:p>
      <w:pPr>
        <w:spacing w:after="80" w:line="288" w:lineRule="auto"/>
        <w:ind w:left="312" w:hanging="255"/>
      </w:pPr>
      <w:r>
        <w:rPr>
          <w:b/>
          <w:color w:val="0EA96F"/>
          <w:sz w:val="19"/>
        </w:rPr>
        <w:t>6.</w:t>
      </w:r>
      <w:r>
        <w:t xml:space="preserve">   Change the Status dropdown to contacted, accepted or declined. The change is persisted immediately in SQLite.</w:t>
      </w:r>
    </w:p>
    <w:p>
      <w:pPr>
        <w:spacing w:after="80" w:line="288" w:lineRule="auto"/>
        <w:ind w:left="312" w:hanging="255"/>
      </w:pPr>
      <w:r>
        <w:rPr>
          <w:b/>
          <w:color w:val="0EA96F"/>
          <w:sz w:val="19"/>
        </w:rPr>
        <w:t>7.</w:t>
      </w:r>
      <w:r>
        <w:t xml:space="preserve">   Click 'Open' to return to the customer's live score and playbook.</w:t>
      </w:r>
    </w:p>
    <w:p>
      <w:pPr>
        <w:spacing w:after="80" w:line="288" w:lineRule="auto"/>
        <w:ind w:left="312" w:hanging="255"/>
      </w:pPr>
      <w:r>
        <w:rPr>
          <w:b/>
          <w:color w:val="0EA96F"/>
          <w:sz w:val="19"/>
        </w:rPr>
        <w:t>8.</w:t>
      </w:r>
      <w:r>
        <w:t xml:space="preserve">   Save the same recommendation again if needed: the database updates the existing row instead of creating a duplicate.</w:t>
      </w:r>
    </w:p>
    <w:p>
      <w:pPr>
        <w:spacing w:after="80" w:line="288" w:lineRule="auto"/>
        <w:ind w:left="312" w:hanging="255"/>
      </w:pPr>
      <w:r>
        <w:rPr>
          <w:b/>
          <w:color w:val="0EA96F"/>
          <w:sz w:val="19"/>
        </w:rPr>
        <w:t>9.</w:t>
      </w:r>
      <w:r>
        <w:t xml:space="preserve">   The queue needs no sign-in and survives an API restart because it is stored in data/processed/churn.db.</w:t>
      </w:r>
    </w:p>
    <w:p>
      <w:pPr>
        <w:jc w:val="center"/>
      </w:pPr>
      <w:r>
        <w:drawing>
          <wp:inline xmlns:a="http://schemas.openxmlformats.org/drawingml/2006/main" xmlns:pic="http://schemas.openxmlformats.org/drawingml/2006/picture">
            <wp:extent cx="5989320" cy="3992880"/>
            <wp:docPr id="5" name="Picture 5"/>
            <wp:cNvGraphicFramePr>
              <a:graphicFrameLocks noChangeAspect="1"/>
            </wp:cNvGraphicFramePr>
            <a:graphic>
              <a:graphicData uri="http://schemas.openxmlformats.org/drawingml/2006/picture">
                <pic:pic>
                  <pic:nvPicPr>
                    <pic:cNvPr id="0" name="queue.png"/>
                    <pic:cNvPicPr/>
                  </pic:nvPicPr>
                  <pic:blipFill>
                    <a:blip r:embed="rId15"/>
                    <a:stretch>
                      <a:fillRect/>
                    </a:stretch>
                  </pic:blipFill>
                  <pic:spPr>
                    <a:xfrm>
                      <a:off x="0" y="0"/>
                      <a:ext cx="5989320" cy="3992880"/>
                    </a:xfrm>
                    <a:prstGeom prst="rect"/>
                  </pic:spPr>
                </pic:pic>
              </a:graphicData>
            </a:graphic>
          </wp:inline>
        </w:drawing>
      </w:r>
    </w:p>
    <w:p>
      <w:pPr>
        <w:jc w:val="center"/>
      </w:pPr>
      <w:r>
        <w:rPr>
          <w:i/>
          <w:color w:val="5E746B"/>
          <w:sz w:val="16"/>
        </w:rPr>
        <w:t>Retention queue: saved playbook actions with a persistent pending/contacted/accepted/declined workflow.</w:t>
      </w:r>
    </w:p>
    <w:p>
      <w:pPr>
        <w:pStyle w:val="Heading3"/>
        <w:keepNext/>
        <w:spacing w:before="180" w:after="100"/>
      </w:pPr>
      <w:r>
        <w:t>12.3.7 Tutorial 5 — explore model insights</w:t>
      </w:r>
    </w:p>
    <w:p>
      <w:pPr>
        <w:spacing w:after="80" w:line="288" w:lineRule="auto"/>
        <w:ind w:left="312" w:hanging="255"/>
      </w:pPr>
      <w:r>
        <w:rPr>
          <w:b/>
          <w:color w:val="0EA96F"/>
          <w:sz w:val="19"/>
        </w:rPr>
        <w:t>1.</w:t>
      </w:r>
      <w:r>
        <w:t xml:space="preserve">   Click 'Model insights' in the sidebar.</w:t>
      </w:r>
    </w:p>
    <w:p>
      <w:pPr>
        <w:spacing w:after="80" w:line="288" w:lineRule="auto"/>
        <w:ind w:left="312" w:hanging="255"/>
      </w:pPr>
      <w:r>
        <w:rPr>
          <w:b/>
          <w:color w:val="0EA96F"/>
          <w:sz w:val="19"/>
        </w:rPr>
        <w:t>2.</w:t>
      </w:r>
      <w:r>
        <w:t xml:space="preserve">   Read the four KPI cards: CV ROC-AUC, test ROC-AUC, recall at the deployed threshold and Brier score.</w:t>
      </w:r>
    </w:p>
    <w:p>
      <w:pPr>
        <w:spacing w:after="80" w:line="288" w:lineRule="auto"/>
        <w:ind w:left="312" w:hanging="255"/>
      </w:pPr>
      <w:r>
        <w:rPr>
          <w:b/>
          <w:color w:val="0EA96F"/>
          <w:sz w:val="19"/>
        </w:rPr>
        <w:t>3.</w:t>
      </w:r>
      <w:r>
        <w:t xml:space="preserve">   In the model comparison table, confirm that Logistic Regression is selected and compare it with XGBoost, Random Forest, Decision Tree, KNN and SVM.</w:t>
      </w:r>
    </w:p>
    <w:p>
      <w:pPr>
        <w:spacing w:after="80" w:line="288" w:lineRule="auto"/>
        <w:ind w:left="312" w:hanging="255"/>
      </w:pPr>
      <w:r>
        <w:rPr>
          <w:b/>
          <w:color w:val="0EA96F"/>
          <w:sz w:val="19"/>
        </w:rPr>
        <w:t>4.</w:t>
      </w:r>
      <w:r>
        <w:t xml:space="preserve">   Read the ROC curve. The deployed model is drawn in solid mint; the other candidates are faded.</w:t>
      </w:r>
    </w:p>
    <w:p>
      <w:pPr>
        <w:spacing w:after="80" w:line="288" w:lineRule="auto"/>
        <w:ind w:left="312" w:hanging="255"/>
      </w:pPr>
      <w:r>
        <w:rPr>
          <w:b/>
          <w:color w:val="0EA96F"/>
          <w:sz w:val="19"/>
        </w:rPr>
        <w:t>5.</w:t>
      </w:r>
      <w:r>
        <w:t xml:space="preserve">   Inspect 'Key churn drivers' and the segment charts for contract, internet service, payment method and tenure.</w:t>
      </w:r>
    </w:p>
    <w:p>
      <w:pPr>
        <w:spacing w:after="80" w:line="288" w:lineRule="auto"/>
        <w:ind w:left="312" w:hanging="255"/>
      </w:pPr>
      <w:r>
        <w:rPr>
          <w:b/>
          <w:color w:val="0EA96F"/>
          <w:sz w:val="19"/>
        </w:rPr>
        <w:t>6.</w:t>
      </w:r>
      <w:r>
        <w:t xml:space="preserve">   Scroll to the Explainability gallery. Click any image to open the full-resolution training figure: SHAP beeswarm, ROC, PR, calibration, segments and confusion matrix.</w:t>
      </w:r>
    </w:p>
    <w:p>
      <w:pPr>
        <w:spacing w:after="80" w:line="288" w:lineRule="auto"/>
        <w:ind w:left="312" w:hanging="255"/>
      </w:pPr>
      <w:r>
        <w:rPr>
          <w:b/>
          <w:color w:val="0EA96F"/>
          <w:sz w:val="19"/>
        </w:rPr>
        <w:t>7.</w:t>
      </w:r>
      <w:r>
        <w:t xml:space="preserve">   Open 'Model card' from the top-right button for the complete methodology and limitations.</w:t>
      </w:r>
    </w:p>
    <w:p>
      <w:pPr>
        <w:pStyle w:val="Heading3"/>
        <w:keepNext/>
        <w:spacing w:before="180" w:after="100"/>
      </w:pPr>
      <w:r>
        <w:t>12.3.8 Tutorial 6 — review history and close the loop</w:t>
      </w:r>
    </w:p>
    <w:p>
      <w:pPr>
        <w:spacing w:after="80" w:line="288" w:lineRule="auto"/>
        <w:ind w:left="312" w:hanging="255"/>
      </w:pPr>
      <w:r>
        <w:rPr>
          <w:b/>
          <w:color w:val="0EA96F"/>
          <w:sz w:val="19"/>
        </w:rPr>
        <w:t>1.</w:t>
      </w:r>
      <w:r>
        <w:t xml:space="preserve">   Click 'Score history' in the sidebar.</w:t>
      </w:r>
    </w:p>
    <w:p>
      <w:pPr>
        <w:spacing w:after="80" w:line="288" w:lineRule="auto"/>
        <w:ind w:left="312" w:hanging="255"/>
      </w:pPr>
      <w:r>
        <w:rPr>
          <w:b/>
          <w:color w:val="0EA96F"/>
          <w:sz w:val="19"/>
        </w:rPr>
        <w:t>2.</w:t>
      </w:r>
      <w:r>
        <w:t xml:space="preserve">   Read the operational KPIs: total predictions, predicted churners, observed churn rate and database details.</w:t>
      </w:r>
    </w:p>
    <w:p>
      <w:pPr>
        <w:spacing w:after="80" w:line="288" w:lineRule="auto"/>
        <w:ind w:left="312" w:hanging="255"/>
      </w:pPr>
      <w:r>
        <w:rPr>
          <w:b/>
          <w:color w:val="0EA96F"/>
          <w:sz w:val="19"/>
        </w:rPr>
        <w:t>3.</w:t>
      </w:r>
      <w:r>
        <w:t xml:space="preserve">   Find a recent score in the table. The row shows when it was scored, the customer, risk band, probability, top driver and outcome status.</w:t>
      </w:r>
    </w:p>
    <w:p>
      <w:pPr>
        <w:spacing w:after="80" w:line="288" w:lineRule="auto"/>
        <w:ind w:left="312" w:hanging="255"/>
      </w:pPr>
      <w:r>
        <w:rPr>
          <w:b/>
          <w:color w:val="0EA96F"/>
          <w:sz w:val="19"/>
        </w:rPr>
        <w:t>4.</w:t>
      </w:r>
      <w:r>
        <w:t xml:space="preserve">   Click 'Churned' or 'Retained' under an awaiting-feedback row to record the real outcome.</w:t>
      </w:r>
    </w:p>
    <w:p>
      <w:pPr>
        <w:spacing w:after="80" w:line="288" w:lineRule="auto"/>
        <w:ind w:left="312" w:hanging="255"/>
      </w:pPr>
      <w:r>
        <w:rPr>
          <w:b/>
          <w:color w:val="0EA96F"/>
          <w:sz w:val="19"/>
        </w:rPr>
        <w:t>5.</w:t>
      </w:r>
      <w:r>
        <w:t xml:space="preserve">   Wait for the success toast. The outcome badge and observed churn rate update immediately.</w:t>
      </w:r>
    </w:p>
    <w:p>
      <w:pPr>
        <w:spacing w:after="80" w:line="288" w:lineRule="auto"/>
        <w:ind w:left="312" w:hanging="255"/>
      </w:pPr>
      <w:r>
        <w:rPr>
          <w:b/>
          <w:color w:val="0EA96F"/>
          <w:sz w:val="19"/>
        </w:rPr>
        <w:t>6.</w:t>
      </w:r>
      <w:r>
        <w:t xml:space="preserve">   Open 'Database status' to confirm the SQLite file, size and row counts.</w:t>
      </w:r>
    </w:p>
    <w:p>
      <w:pPr>
        <w:spacing w:after="80" w:line="288" w:lineRule="auto"/>
        <w:ind w:left="312" w:hanging="255"/>
      </w:pPr>
      <w:r>
        <w:rPr>
          <w:b/>
          <w:color w:val="0EA96F"/>
          <w:sz w:val="19"/>
        </w:rPr>
        <w:t>7.</w:t>
      </w:r>
      <w:r>
        <w:t xml:space="preserve">   Use the 'API reference' button if you want to inspect the same data from Swagger.</w:t>
      </w:r>
    </w:p>
    <w:p>
      <w:pPr>
        <w:pStyle w:val="Heading3"/>
        <w:keepNext/>
        <w:spacing w:before="180" w:after="100"/>
      </w:pPr>
      <w:r>
        <w:t>12.3.9 Tutorial 7 — export, reset and demo checklist</w:t>
      </w:r>
    </w:p>
    <w:p>
      <w:pPr>
        <w:spacing w:after="140" w:line="307" w:lineRule="auto"/>
      </w:pPr>
      <w:r>
        <w:rPr>
          <w:i w:val="0"/>
        </w:rPr>
        <w:t>Exporting the customer book:</w:t>
      </w:r>
    </w:p>
    <w:p>
      <w:pPr>
        <w:spacing w:after="80" w:line="288" w:lineRule="auto"/>
        <w:ind w:left="312" w:hanging="255"/>
      </w:pPr>
      <w:r>
        <w:rPr>
          <w:b/>
          <w:color w:val="0EA96F"/>
          <w:sz w:val="19"/>
        </w:rPr>
        <w:t>1.</w:t>
      </w:r>
      <w:r>
        <w:t xml:space="preserve">   Open Customers and choose a risk band.</w:t>
      </w:r>
    </w:p>
    <w:p>
      <w:pPr>
        <w:spacing w:after="80" w:line="288" w:lineRule="auto"/>
        <w:ind w:left="312" w:hanging="255"/>
      </w:pPr>
      <w:r>
        <w:rPr>
          <w:b/>
          <w:color w:val="0EA96F"/>
          <w:sz w:val="19"/>
        </w:rPr>
        <w:t>2.</w:t>
      </w:r>
      <w:r>
        <w:t xml:space="preserve">   Optionally type a search query to narrow the loaded list.</w:t>
      </w:r>
    </w:p>
    <w:p>
      <w:pPr>
        <w:spacing w:after="80" w:line="288" w:lineRule="auto"/>
        <w:ind w:left="312" w:hanging="255"/>
      </w:pPr>
      <w:r>
        <w:rPr>
          <w:b/>
          <w:color w:val="0EA96F"/>
          <w:sz w:val="19"/>
        </w:rPr>
        <w:t>3.</w:t>
      </w:r>
      <w:r>
        <w:t xml:space="preserve">   Click 'Export CSV'. The browser downloads a file named retainiq-&lt;band&gt;-risk.csv.</w:t>
      </w:r>
    </w:p>
    <w:p>
      <w:pPr>
        <w:spacing w:after="80" w:line="288" w:lineRule="auto"/>
        <w:ind w:left="312" w:hanging="255"/>
      </w:pPr>
      <w:r>
        <w:rPr>
          <w:b/>
          <w:color w:val="0EA96F"/>
          <w:sz w:val="19"/>
        </w:rPr>
        <w:t>4.</w:t>
      </w:r>
      <w:r>
        <w:t xml:space="preserve">   Open it in Excel, LibreOffice or pandas for a viva appendix or offline review.</w:t>
      </w:r>
    </w:p>
    <w:p>
      <w:pPr>
        <w:spacing w:after="140" w:line="307" w:lineRule="auto"/>
      </w:pPr>
      <w:r>
        <w:rPr>
          <w:i w:val="0"/>
        </w:rPr>
        <w:t>Resetting the demo database (optional):</w:t>
      </w:r>
    </w:p>
    <w:p>
      <w:pPr>
        <w:spacing w:after="80" w:line="288" w:lineRule="auto"/>
        <w:ind w:left="312" w:hanging="255"/>
      </w:pPr>
      <w:r>
        <w:rPr>
          <w:b/>
          <w:color w:val="0EA96F"/>
          <w:sz w:val="19"/>
        </w:rPr>
        <w:t>1.</w:t>
      </w:r>
      <w:r>
        <w:t xml:space="preserve">   Stop the API with Ctrl+C.</w:t>
      </w:r>
    </w:p>
    <w:p>
      <w:pPr>
        <w:spacing w:after="80" w:line="288" w:lineRule="auto"/>
        <w:ind w:left="312" w:hanging="255"/>
      </w:pPr>
      <w:r>
        <w:rPr>
          <w:b/>
          <w:color w:val="0EA96F"/>
          <w:sz w:val="19"/>
        </w:rPr>
        <w:t>2.</w:t>
      </w:r>
      <w:r>
        <w:t xml:space="preserve">   Delete data/processed/churn.db, churn.db-wal and churn.db-shm. The scored customer CSV is not affected.</w:t>
      </w:r>
    </w:p>
    <w:p>
      <w:pPr>
        <w:spacing w:after="80" w:line="288" w:lineRule="auto"/>
        <w:ind w:left="312" w:hanging="255"/>
      </w:pPr>
      <w:r>
        <w:rPr>
          <w:b/>
          <w:color w:val="0EA96F"/>
          <w:sz w:val="19"/>
        </w:rPr>
        <w:t>3.</w:t>
      </w:r>
      <w:r>
        <w:t xml:space="preserve">   Start the API again with `uv run churn-serve`. The database is recreated empty.</w:t>
      </w:r>
    </w:p>
    <w:p>
      <w:pPr>
        <w:spacing w:after="80" w:line="288" w:lineRule="auto"/>
        <w:ind w:left="312" w:hanging="255"/>
      </w:pPr>
      <w:r>
        <w:rPr>
          <w:b/>
          <w:color w:val="0EA96F"/>
          <w:sz w:val="19"/>
        </w:rPr>
        <w:t>4.</w:t>
      </w:r>
      <w:r>
        <w:t xml:space="preserve">   The Queue and History pages will show their empty states until you score or save something.</w:t>
      </w:r>
    </w:p>
    <w:p>
      <w:pPr>
        <w:spacing w:after="140" w:line="307" w:lineRule="auto"/>
      </w:pPr>
      <w:r>
        <w:rPr>
          <w:i w:val="0"/>
        </w:rPr>
        <w:t>Five-minute viva demo checklist:</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1512"/>
            <w:shd w:val="clear" w:color="auto" w:fill="0B3B2E"/>
            <w:tcMar>
              <w:top w:w="70" w:type="dxa"/>
              <w:bottom w:w="70" w:type="dxa"/>
              <w:start w:w="90" w:type="dxa"/>
              <w:end w:w="90" w:type="dxa"/>
            </w:tcMar>
          </w:tcPr>
          <w:p>
            <w:pPr>
              <w:spacing w:after="0"/>
            </w:pPr>
            <w:r>
              <w:rPr>
                <w:rFonts w:ascii="Calibri" w:hAnsi="Calibri"/>
                <w:b/>
                <w:color w:val="FFFFFF"/>
                <w:sz w:val="16"/>
              </w:rPr>
              <w:t>Minute</w:t>
            </w:r>
          </w:p>
        </w:tc>
        <w:tc>
          <w:tcPr>
            <w:tcW w:type="dxa" w:w="2304"/>
            <w:shd w:val="clear" w:color="auto" w:fill="0B3B2E"/>
            <w:tcMar>
              <w:top w:w="70" w:type="dxa"/>
              <w:bottom w:w="70" w:type="dxa"/>
              <w:start w:w="90" w:type="dxa"/>
              <w:end w:w="90" w:type="dxa"/>
            </w:tcMar>
          </w:tcPr>
          <w:p>
            <w:pPr>
              <w:spacing w:after="0"/>
            </w:pPr>
            <w:r>
              <w:rPr>
                <w:rFonts w:ascii="Calibri" w:hAnsi="Calibri"/>
                <w:b/>
                <w:color w:val="FFFFFF"/>
                <w:sz w:val="16"/>
              </w:rPr>
              <w:t>Do this</w:t>
            </w:r>
          </w:p>
        </w:tc>
        <w:tc>
          <w:tcPr>
            <w:tcW w:type="dxa" w:w="5760"/>
            <w:shd w:val="clear" w:color="auto" w:fill="0B3B2E"/>
            <w:tcMar>
              <w:top w:w="70" w:type="dxa"/>
              <w:bottom w:w="70" w:type="dxa"/>
              <w:start w:w="90" w:type="dxa"/>
              <w:end w:w="90" w:type="dxa"/>
            </w:tcMar>
          </w:tcPr>
          <w:p>
            <w:pPr>
              <w:spacing w:after="0"/>
            </w:pPr>
            <w:r>
              <w:rPr>
                <w:rFonts w:ascii="Calibri" w:hAnsi="Calibri"/>
                <w:b/>
                <w:color w:val="FFFFFF"/>
                <w:sz w:val="16"/>
              </w:rPr>
              <w:t>Say this</w:t>
            </w:r>
          </w:p>
        </w:tc>
      </w:tr>
      <w:tr>
        <w:tc>
          <w:tcPr>
            <w:tcW w:type="dxa" w:w="1512"/>
            <w:tcMar>
              <w:top w:w="70" w:type="dxa"/>
              <w:bottom w:w="70" w:type="dxa"/>
              <w:start w:w="90" w:type="dxa"/>
              <w:end w:w="90" w:type="dxa"/>
            </w:tcMar>
          </w:tcPr>
          <w:p>
            <w:pPr>
              <w:spacing w:after="0" w:line="252" w:lineRule="auto"/>
            </w:pPr>
            <w:r>
              <w:rPr>
                <w:rFonts w:ascii="Calibri" w:hAnsi="Calibri"/>
                <w:color w:val="0B1F1A"/>
                <w:sz w:val="16"/>
              </w:rPr>
              <w:t>0:00–0:40</w:t>
            </w:r>
          </w:p>
        </w:tc>
        <w:tc>
          <w:tcPr>
            <w:tcW w:type="dxa" w:w="2304"/>
            <w:tcMar>
              <w:top w:w="70" w:type="dxa"/>
              <w:bottom w:w="70" w:type="dxa"/>
              <w:start w:w="90" w:type="dxa"/>
              <w:end w:w="90" w:type="dxa"/>
            </w:tcMar>
          </w:tcPr>
          <w:p>
            <w:pPr>
              <w:spacing w:after="0" w:line="252" w:lineRule="auto"/>
            </w:pPr>
            <w:r>
              <w:rPr>
                <w:rFonts w:ascii="Calibri" w:hAnsi="Calibri"/>
                <w:color w:val="0B1F1A"/>
                <w:sz w:val="16"/>
              </w:rPr>
              <w:t>Open Overview</w:t>
            </w:r>
          </w:p>
        </w:tc>
        <w:tc>
          <w:tcPr>
            <w:tcW w:type="dxa" w:w="5760"/>
            <w:tcMar>
              <w:top w:w="70" w:type="dxa"/>
              <w:bottom w:w="70" w:type="dxa"/>
              <w:start w:w="90" w:type="dxa"/>
              <w:end w:w="90" w:type="dxa"/>
            </w:tcMar>
          </w:tcPr>
          <w:p>
            <w:pPr>
              <w:spacing w:after="0" w:line="252" w:lineRule="auto"/>
            </w:pPr>
            <w:r>
              <w:rPr>
                <w:rFonts w:ascii="Calibri" w:hAnsi="Calibri"/>
                <w:color w:val="0B1F1A"/>
                <w:sz w:val="16"/>
              </w:rPr>
              <w:t>7,043 customers, 26.5% historical churn, 1,002 high-risk, 14.2% of the book.</w:t>
            </w:r>
          </w:p>
        </w:tc>
      </w:tr>
      <w:tr>
        <w:tc>
          <w:tcPr>
            <w:tcW w:type="dxa" w:w="1512"/>
            <w:tcMar>
              <w:top w:w="70" w:type="dxa"/>
              <w:bottom w:w="70" w:type="dxa"/>
              <w:start w:w="90" w:type="dxa"/>
              <w:end w:w="90" w:type="dxa"/>
            </w:tcMar>
            <w:shd w:val="clear" w:color="auto" w:fill="F5FAF8"/>
          </w:tcPr>
          <w:p>
            <w:pPr>
              <w:spacing w:after="0" w:line="252" w:lineRule="auto"/>
            </w:pPr>
            <w:r>
              <w:rPr>
                <w:rFonts w:ascii="Calibri" w:hAnsi="Calibri"/>
                <w:color w:val="0B1F1A"/>
                <w:sz w:val="16"/>
              </w:rPr>
              <w:t>0:40–1:30</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Customers → open a row</w:t>
            </w:r>
          </w:p>
        </w:tc>
        <w:tc>
          <w:tcPr>
            <w:tcW w:type="dxa" w:w="5760"/>
            <w:tcMar>
              <w:top w:w="70" w:type="dxa"/>
              <w:bottom w:w="70" w:type="dxa"/>
              <w:start w:w="90" w:type="dxa"/>
              <w:end w:w="90" w:type="dxa"/>
            </w:tcMar>
            <w:shd w:val="clear" w:color="auto" w:fill="F5FAF8"/>
          </w:tcPr>
          <w:p>
            <w:pPr>
              <w:spacing w:after="0" w:line="252" w:lineRule="auto"/>
            </w:pPr>
            <w:r>
              <w:rPr>
                <w:rFonts w:ascii="Calibri" w:hAnsi="Calibri"/>
                <w:color w:val="0B1F1A"/>
                <w:sz w:val="16"/>
              </w:rPr>
              <w:t>The model scores 90% risk; the top driver is short tenure; the playbook is specific.</w:t>
            </w:r>
          </w:p>
        </w:tc>
      </w:tr>
      <w:tr>
        <w:tc>
          <w:tcPr>
            <w:tcW w:type="dxa" w:w="1512"/>
            <w:tcMar>
              <w:top w:w="70" w:type="dxa"/>
              <w:bottom w:w="70" w:type="dxa"/>
              <w:start w:w="90" w:type="dxa"/>
              <w:end w:w="90" w:type="dxa"/>
            </w:tcMar>
          </w:tcPr>
          <w:p>
            <w:pPr>
              <w:spacing w:after="0" w:line="252" w:lineRule="auto"/>
            </w:pPr>
            <w:r>
              <w:rPr>
                <w:rFonts w:ascii="Calibri" w:hAnsi="Calibri"/>
                <w:color w:val="0B1F1A"/>
                <w:sz w:val="16"/>
              </w:rPr>
              <w:t>1:30–2:10</w:t>
            </w:r>
          </w:p>
        </w:tc>
        <w:tc>
          <w:tcPr>
            <w:tcW w:type="dxa" w:w="2304"/>
            <w:tcMar>
              <w:top w:w="70" w:type="dxa"/>
              <w:bottom w:w="70" w:type="dxa"/>
              <w:start w:w="90" w:type="dxa"/>
              <w:end w:w="90" w:type="dxa"/>
            </w:tcMar>
          </w:tcPr>
          <w:p>
            <w:pPr>
              <w:spacing w:after="0" w:line="252" w:lineRule="auto"/>
            </w:pPr>
            <w:r>
              <w:rPr>
                <w:rFonts w:ascii="Calibri" w:hAnsi="Calibri"/>
                <w:color w:val="0B1F1A"/>
                <w:sz w:val="16"/>
              </w:rPr>
              <w:t>Add action → Queue</w:t>
            </w:r>
          </w:p>
        </w:tc>
        <w:tc>
          <w:tcPr>
            <w:tcW w:type="dxa" w:w="5760"/>
            <w:tcMar>
              <w:top w:w="70" w:type="dxa"/>
              <w:bottom w:w="70" w:type="dxa"/>
              <w:start w:w="90" w:type="dxa"/>
              <w:end w:w="90" w:type="dxa"/>
            </w:tcMar>
          </w:tcPr>
          <w:p>
            <w:pPr>
              <w:spacing w:after="0" w:line="252" w:lineRule="auto"/>
            </w:pPr>
            <w:r>
              <w:rPr>
                <w:rFonts w:ascii="Calibri" w:hAnsi="Calibri"/>
                <w:color w:val="0B1F1A"/>
                <w:sz w:val="16"/>
              </w:rPr>
              <w:t>The action persists in SQLite; change its status; no sign-in is required.</w:t>
            </w:r>
          </w:p>
        </w:tc>
      </w:tr>
      <w:tr>
        <w:tc>
          <w:tcPr>
            <w:tcW w:type="dxa" w:w="1512"/>
            <w:tcMar>
              <w:top w:w="70" w:type="dxa"/>
              <w:bottom w:w="70" w:type="dxa"/>
              <w:start w:w="90" w:type="dxa"/>
              <w:end w:w="90" w:type="dxa"/>
            </w:tcMar>
            <w:shd w:val="clear" w:color="auto" w:fill="F5FAF8"/>
          </w:tcPr>
          <w:p>
            <w:pPr>
              <w:spacing w:after="0" w:line="252" w:lineRule="auto"/>
            </w:pPr>
            <w:r>
              <w:rPr>
                <w:rFonts w:ascii="Calibri" w:hAnsi="Calibri"/>
                <w:color w:val="0B1F1A"/>
                <w:sz w:val="16"/>
              </w:rPr>
              <w:t>2:10–3:00</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Score customer → high demo</w:t>
            </w:r>
          </w:p>
        </w:tc>
        <w:tc>
          <w:tcPr>
            <w:tcW w:type="dxa" w:w="5760"/>
            <w:tcMar>
              <w:top w:w="70" w:type="dxa"/>
              <w:bottom w:w="70" w:type="dxa"/>
              <w:start w:w="90" w:type="dxa"/>
              <w:end w:w="90" w:type="dxa"/>
            </w:tcMar>
            <w:shd w:val="clear" w:color="auto" w:fill="F5FAF8"/>
          </w:tcPr>
          <w:p>
            <w:pPr>
              <w:spacing w:after="0" w:line="252" w:lineRule="auto"/>
            </w:pPr>
            <w:r>
              <w:rPr>
                <w:rFonts w:ascii="Calibri" w:hAnsi="Calibri"/>
                <w:color w:val="0B1F1A"/>
                <w:sz w:val="16"/>
              </w:rPr>
              <w:t>Show the gauge, threshold, SHAP signs and revenue at risk.</w:t>
            </w:r>
          </w:p>
        </w:tc>
      </w:tr>
      <w:tr>
        <w:tc>
          <w:tcPr>
            <w:tcW w:type="dxa" w:w="1512"/>
            <w:tcMar>
              <w:top w:w="70" w:type="dxa"/>
              <w:bottom w:w="70" w:type="dxa"/>
              <w:start w:w="90" w:type="dxa"/>
              <w:end w:w="90" w:type="dxa"/>
            </w:tcMar>
          </w:tcPr>
          <w:p>
            <w:pPr>
              <w:spacing w:after="0" w:line="252" w:lineRule="auto"/>
            </w:pPr>
            <w:r>
              <w:rPr>
                <w:rFonts w:ascii="Calibri" w:hAnsi="Calibri"/>
                <w:color w:val="0B1F1A"/>
                <w:sz w:val="16"/>
              </w:rPr>
              <w:t>3:00–4:00</w:t>
            </w:r>
          </w:p>
        </w:tc>
        <w:tc>
          <w:tcPr>
            <w:tcW w:type="dxa" w:w="2304"/>
            <w:tcMar>
              <w:top w:w="70" w:type="dxa"/>
              <w:bottom w:w="70" w:type="dxa"/>
              <w:start w:w="90" w:type="dxa"/>
              <w:end w:w="90" w:type="dxa"/>
            </w:tcMar>
          </w:tcPr>
          <w:p>
            <w:pPr>
              <w:spacing w:after="0" w:line="252" w:lineRule="auto"/>
            </w:pPr>
            <w:r>
              <w:rPr>
                <w:rFonts w:ascii="Calibri" w:hAnsi="Calibri"/>
                <w:color w:val="0B1F1A"/>
                <w:sz w:val="16"/>
              </w:rPr>
              <w:t>Model insights</w:t>
            </w:r>
          </w:p>
        </w:tc>
        <w:tc>
          <w:tcPr>
            <w:tcW w:type="dxa" w:w="5760"/>
            <w:tcMar>
              <w:top w:w="70" w:type="dxa"/>
              <w:bottom w:w="70" w:type="dxa"/>
              <w:start w:w="90" w:type="dxa"/>
              <w:end w:w="90" w:type="dxa"/>
            </w:tcMar>
          </w:tcPr>
          <w:p>
            <w:pPr>
              <w:spacing w:after="0" w:line="252" w:lineRule="auto"/>
            </w:pPr>
            <w:r>
              <w:rPr>
                <w:rFonts w:ascii="Calibri" w:hAnsi="Calibri"/>
                <w:color w:val="0B1F1A"/>
                <w:sz w:val="16"/>
              </w:rPr>
              <w:t>Six models, 5-fold CV selection on ROC-AUC, SHAP and calibration.</w:t>
            </w:r>
          </w:p>
        </w:tc>
      </w:tr>
      <w:tr>
        <w:tc>
          <w:tcPr>
            <w:tcW w:type="dxa" w:w="1512"/>
            <w:tcMar>
              <w:top w:w="70" w:type="dxa"/>
              <w:bottom w:w="70" w:type="dxa"/>
              <w:start w:w="90" w:type="dxa"/>
              <w:end w:w="90" w:type="dxa"/>
            </w:tcMar>
            <w:shd w:val="clear" w:color="auto" w:fill="F5FAF8"/>
          </w:tcPr>
          <w:p>
            <w:pPr>
              <w:spacing w:after="0" w:line="252" w:lineRule="auto"/>
            </w:pPr>
            <w:r>
              <w:rPr>
                <w:rFonts w:ascii="Calibri" w:hAnsi="Calibri"/>
                <w:color w:val="0B1F1A"/>
                <w:sz w:val="16"/>
              </w:rPr>
              <w:t>4:00–4:40</w:t>
            </w:r>
          </w:p>
        </w:tc>
        <w:tc>
          <w:tcPr>
            <w:tcW w:type="dxa" w:w="2304"/>
            <w:tcMar>
              <w:top w:w="70" w:type="dxa"/>
              <w:bottom w:w="70" w:type="dxa"/>
              <w:start w:w="90" w:type="dxa"/>
              <w:end w:w="90" w:type="dxa"/>
            </w:tcMar>
            <w:shd w:val="clear" w:color="auto" w:fill="F5FAF8"/>
          </w:tcPr>
          <w:p>
            <w:pPr>
              <w:spacing w:after="0" w:line="252" w:lineRule="auto"/>
            </w:pPr>
            <w:r>
              <w:rPr>
                <w:rFonts w:ascii="Calibri" w:hAnsi="Calibri"/>
                <w:color w:val="0B1F1A"/>
                <w:sz w:val="16"/>
              </w:rPr>
              <w:t>History → feedback</w:t>
            </w:r>
          </w:p>
        </w:tc>
        <w:tc>
          <w:tcPr>
            <w:tcW w:type="dxa" w:w="5760"/>
            <w:tcMar>
              <w:top w:w="70" w:type="dxa"/>
              <w:bottom w:w="70" w:type="dxa"/>
              <w:start w:w="90" w:type="dxa"/>
              <w:end w:w="90" w:type="dxa"/>
            </w:tcMar>
            <w:shd w:val="clear" w:color="auto" w:fill="F5FAF8"/>
          </w:tcPr>
          <w:p>
            <w:pPr>
              <w:spacing w:after="0" w:line="252" w:lineRule="auto"/>
            </w:pPr>
            <w:r>
              <w:rPr>
                <w:rFonts w:ascii="Calibri" w:hAnsi="Calibri"/>
                <w:color w:val="0B1F1A"/>
                <w:sz w:val="16"/>
              </w:rPr>
              <w:t>Every score is audited; record the real outcome to close the loop.</w:t>
            </w:r>
          </w:p>
        </w:tc>
      </w:tr>
      <w:tr>
        <w:tc>
          <w:tcPr>
            <w:tcW w:type="dxa" w:w="1512"/>
            <w:tcMar>
              <w:top w:w="70" w:type="dxa"/>
              <w:bottom w:w="70" w:type="dxa"/>
              <w:start w:w="90" w:type="dxa"/>
              <w:end w:w="90" w:type="dxa"/>
            </w:tcMar>
          </w:tcPr>
          <w:p>
            <w:pPr>
              <w:spacing w:after="0" w:line="252" w:lineRule="auto"/>
            </w:pPr>
            <w:r>
              <w:rPr>
                <w:rFonts w:ascii="Calibri" w:hAnsi="Calibri"/>
                <w:color w:val="0B1F1A"/>
                <w:sz w:val="16"/>
              </w:rPr>
              <w:t>4:40–5:00</w:t>
            </w:r>
          </w:p>
        </w:tc>
        <w:tc>
          <w:tcPr>
            <w:tcW w:type="dxa" w:w="2304"/>
            <w:tcMar>
              <w:top w:w="70" w:type="dxa"/>
              <w:bottom w:w="70" w:type="dxa"/>
              <w:start w:w="90" w:type="dxa"/>
              <w:end w:w="90" w:type="dxa"/>
            </w:tcMar>
          </w:tcPr>
          <w:p>
            <w:pPr>
              <w:spacing w:after="0" w:line="252" w:lineRule="auto"/>
            </w:pPr>
            <w:r>
              <w:rPr>
                <w:rFonts w:ascii="Calibri" w:hAnsi="Calibri"/>
                <w:color w:val="0B1F1A"/>
                <w:sz w:val="16"/>
              </w:rPr>
              <w:t>Close</w:t>
            </w:r>
          </w:p>
        </w:tc>
        <w:tc>
          <w:tcPr>
            <w:tcW w:type="dxa" w:w="5760"/>
            <w:tcMar>
              <w:top w:w="70" w:type="dxa"/>
              <w:bottom w:w="70" w:type="dxa"/>
              <w:start w:w="90" w:type="dxa"/>
              <w:end w:w="90" w:type="dxa"/>
            </w:tcMar>
          </w:tcPr>
          <w:p>
            <w:pPr>
              <w:spacing w:after="0" w:line="252" w:lineRule="auto"/>
            </w:pPr>
            <w:r>
              <w:rPr>
                <w:rFonts w:ascii="Calibri" w:hAnsi="Calibri"/>
                <w:color w:val="0B1F1A"/>
                <w:sz w:val="16"/>
              </w:rPr>
              <w:t>Business value, limitations, future work, questions.</w:t>
            </w:r>
          </w:p>
        </w:tc>
      </w:tr>
    </w:tbl>
    <w:p>
      <w:pPr>
        <w:spacing w:after="40"/>
      </w:pPr>
    </w:p>
    <w:p>
      <w:pPr>
        <w:pStyle w:val="Heading2"/>
        <w:keepNext/>
        <w:spacing w:before="180" w:after="100"/>
      </w:pPr>
      <w:r>
        <w:t>12.4 Troubleshooting</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2232"/>
            <w:shd w:val="clear" w:color="auto" w:fill="0B3B2E"/>
            <w:tcMar>
              <w:top w:w="70" w:type="dxa"/>
              <w:bottom w:w="70" w:type="dxa"/>
              <w:start w:w="90" w:type="dxa"/>
              <w:end w:w="90" w:type="dxa"/>
            </w:tcMar>
          </w:tcPr>
          <w:p>
            <w:pPr>
              <w:spacing w:after="0"/>
            </w:pPr>
            <w:r>
              <w:rPr>
                <w:rFonts w:ascii="Calibri" w:hAnsi="Calibri"/>
                <w:b/>
                <w:color w:val="FFFFFF"/>
                <w:sz w:val="16"/>
              </w:rPr>
              <w:t>Symptom</w:t>
            </w:r>
          </w:p>
        </w:tc>
        <w:tc>
          <w:tcPr>
            <w:tcW w:type="dxa" w:w="2376"/>
            <w:shd w:val="clear" w:color="auto" w:fill="0B3B2E"/>
            <w:tcMar>
              <w:top w:w="70" w:type="dxa"/>
              <w:bottom w:w="70" w:type="dxa"/>
              <w:start w:w="90" w:type="dxa"/>
              <w:end w:w="90" w:type="dxa"/>
            </w:tcMar>
          </w:tcPr>
          <w:p>
            <w:pPr>
              <w:spacing w:after="0"/>
            </w:pPr>
            <w:r>
              <w:rPr>
                <w:rFonts w:ascii="Calibri" w:hAnsi="Calibri"/>
                <w:b/>
                <w:color w:val="FFFFFF"/>
                <w:sz w:val="16"/>
              </w:rPr>
              <w:t>Likely cause</w:t>
            </w:r>
          </w:p>
        </w:tc>
        <w:tc>
          <w:tcPr>
            <w:tcW w:type="dxa" w:w="5040"/>
            <w:shd w:val="clear" w:color="auto" w:fill="0B3B2E"/>
            <w:tcMar>
              <w:top w:w="70" w:type="dxa"/>
              <w:bottom w:w="70" w:type="dxa"/>
              <w:start w:w="90" w:type="dxa"/>
              <w:end w:w="90" w:type="dxa"/>
            </w:tcMar>
          </w:tcPr>
          <w:p>
            <w:pPr>
              <w:spacing w:after="0"/>
            </w:pPr>
            <w:r>
              <w:rPr>
                <w:rFonts w:ascii="Calibri" w:hAnsi="Calibri"/>
                <w:b/>
                <w:color w:val="FFFFFF"/>
                <w:sz w:val="16"/>
              </w:rPr>
              <w:t>Fix</w:t>
            </w:r>
          </w:p>
        </w:tc>
      </w:tr>
      <w:tr>
        <w:tc>
          <w:tcPr>
            <w:tcW w:type="dxa" w:w="2232"/>
            <w:tcMar>
              <w:top w:w="70" w:type="dxa"/>
              <w:bottom w:w="70" w:type="dxa"/>
              <w:start w:w="90" w:type="dxa"/>
              <w:end w:w="90" w:type="dxa"/>
            </w:tcMar>
          </w:tcPr>
          <w:p>
            <w:pPr>
              <w:spacing w:after="0" w:line="252" w:lineRule="auto"/>
            </w:pPr>
            <w:r>
              <w:rPr>
                <w:rFonts w:ascii="Calibri" w:hAnsi="Calibri"/>
                <w:color w:val="0B1F1A"/>
                <w:sz w:val="16"/>
              </w:rPr>
              <w:t>/app/ shows 404 or a blank page</w:t>
            </w:r>
          </w:p>
        </w:tc>
        <w:tc>
          <w:tcPr>
            <w:tcW w:type="dxa" w:w="2376"/>
            <w:tcMar>
              <w:top w:w="70" w:type="dxa"/>
              <w:bottom w:w="70" w:type="dxa"/>
              <w:start w:w="90" w:type="dxa"/>
              <w:end w:w="90" w:type="dxa"/>
            </w:tcMar>
          </w:tcPr>
          <w:p>
            <w:pPr>
              <w:spacing w:after="0" w:line="252" w:lineRule="auto"/>
            </w:pPr>
            <w:r>
              <w:rPr>
                <w:rFonts w:ascii="Calibri" w:hAnsi="Calibri"/>
                <w:color w:val="0B1F1A"/>
                <w:sz w:val="16"/>
              </w:rPr>
              <w:t>Server not running, wrong URL, or frontend/dist missing</w:t>
            </w:r>
          </w:p>
        </w:tc>
        <w:tc>
          <w:tcPr>
            <w:tcW w:type="dxa" w:w="5040"/>
            <w:tcMar>
              <w:top w:w="70" w:type="dxa"/>
              <w:bottom w:w="70" w:type="dxa"/>
              <w:start w:w="90" w:type="dxa"/>
              <w:end w:w="90" w:type="dxa"/>
            </w:tcMar>
          </w:tcPr>
          <w:p>
            <w:pPr>
              <w:spacing w:after="0" w:line="252" w:lineRule="auto"/>
            </w:pPr>
            <w:r>
              <w:rPr>
                <w:rFonts w:ascii="Calibri" w:hAnsi="Calibri"/>
                <w:color w:val="0B1F1A"/>
                <w:sz w:val="16"/>
              </w:rPr>
              <w:t>Start `uv run churn-serve`; open http://127.0.0.1:8000/app/; rebuild with `cd frontend &amp;&amp; npm run build`.</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6"/>
              </w:rPr>
              <w:t>API offline / red status chip</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Backend crashed or port conflict</w:t>
            </w:r>
          </w:p>
        </w:tc>
        <w:tc>
          <w:tcPr>
            <w:tcW w:type="dxa" w:w="5040"/>
            <w:tcMar>
              <w:top w:w="70" w:type="dxa"/>
              <w:bottom w:w="70" w:type="dxa"/>
              <w:start w:w="90" w:type="dxa"/>
              <w:end w:w="90" w:type="dxa"/>
            </w:tcMar>
            <w:shd w:val="clear" w:color="auto" w:fill="F5FAF8"/>
          </w:tcPr>
          <w:p>
            <w:pPr>
              <w:spacing w:after="0" w:line="252" w:lineRule="auto"/>
            </w:pPr>
            <w:r>
              <w:rPr>
                <w:rFonts w:ascii="Calibri" w:hAnsi="Calibri"/>
                <w:color w:val="0B1F1A"/>
                <w:sz w:val="16"/>
              </w:rPr>
              <w:t>Check the terminal for the traceback; stop the conflicting process; restart `uv run churn-serve`.</w:t>
            </w:r>
          </w:p>
        </w:tc>
      </w:tr>
      <w:tr>
        <w:tc>
          <w:tcPr>
            <w:tcW w:type="dxa" w:w="2232"/>
            <w:tcMar>
              <w:top w:w="70" w:type="dxa"/>
              <w:bottom w:w="70" w:type="dxa"/>
              <w:start w:w="90" w:type="dxa"/>
              <w:end w:w="90" w:type="dxa"/>
            </w:tcMar>
          </w:tcPr>
          <w:p>
            <w:pPr>
              <w:spacing w:after="0" w:line="252" w:lineRule="auto"/>
            </w:pPr>
            <w:r>
              <w:rPr>
                <w:rFonts w:ascii="Calibri" w:hAnsi="Calibri"/>
                <w:color w:val="0B1F1A"/>
                <w:sz w:val="16"/>
              </w:rPr>
              <w:t>503 'Model is not loaded'</w:t>
            </w:r>
          </w:p>
        </w:tc>
        <w:tc>
          <w:tcPr>
            <w:tcW w:type="dxa" w:w="2376"/>
            <w:tcMar>
              <w:top w:w="70" w:type="dxa"/>
              <w:bottom w:w="70" w:type="dxa"/>
              <w:start w:w="90" w:type="dxa"/>
              <w:end w:w="90" w:type="dxa"/>
            </w:tcMar>
          </w:tcPr>
          <w:p>
            <w:pPr>
              <w:spacing w:after="0" w:line="252" w:lineRule="auto"/>
            </w:pPr>
            <w:r>
              <w:rPr>
                <w:rFonts w:ascii="Calibri" w:hAnsi="Calibri"/>
                <w:color w:val="0B1F1A"/>
                <w:sz w:val="16"/>
              </w:rPr>
              <w:t>No trained artifact</w:t>
            </w:r>
          </w:p>
        </w:tc>
        <w:tc>
          <w:tcPr>
            <w:tcW w:type="dxa" w:w="5040"/>
            <w:tcMar>
              <w:top w:w="70" w:type="dxa"/>
              <w:bottom w:w="70" w:type="dxa"/>
              <w:start w:w="90" w:type="dxa"/>
              <w:end w:w="90" w:type="dxa"/>
            </w:tcMar>
          </w:tcPr>
          <w:p>
            <w:pPr>
              <w:spacing w:after="0" w:line="252" w:lineRule="auto"/>
            </w:pPr>
            <w:r>
              <w:rPr>
                <w:rFonts w:ascii="Calibri" w:hAnsi="Calibri"/>
                <w:color w:val="0B1F1A"/>
                <w:sz w:val="16"/>
              </w:rPr>
              <w:t>Run `uv run churn-train`, then restart the server.</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6"/>
              </w:rPr>
              <w:t>Queue or History is empty</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Fresh SQLite database</w:t>
            </w:r>
          </w:p>
        </w:tc>
        <w:tc>
          <w:tcPr>
            <w:tcW w:type="dxa" w:w="5040"/>
            <w:tcMar>
              <w:top w:w="70" w:type="dxa"/>
              <w:bottom w:w="70" w:type="dxa"/>
              <w:start w:w="90" w:type="dxa"/>
              <w:end w:w="90" w:type="dxa"/>
            </w:tcMar>
            <w:shd w:val="clear" w:color="auto" w:fill="F5FAF8"/>
          </w:tcPr>
          <w:p>
            <w:pPr>
              <w:spacing w:after="0" w:line="252" w:lineRule="auto"/>
            </w:pPr>
            <w:r>
              <w:rPr>
                <w:rFonts w:ascii="Calibri" w:hAnsi="Calibri"/>
                <w:color w:val="0B1F1A"/>
                <w:sz w:val="16"/>
              </w:rPr>
              <w:t>Score a customer and save an action; the tables populate automatically.</w:t>
            </w:r>
          </w:p>
        </w:tc>
      </w:tr>
      <w:tr>
        <w:tc>
          <w:tcPr>
            <w:tcW w:type="dxa" w:w="2232"/>
            <w:tcMar>
              <w:top w:w="70" w:type="dxa"/>
              <w:bottom w:w="70" w:type="dxa"/>
              <w:start w:w="90" w:type="dxa"/>
              <w:end w:w="90" w:type="dxa"/>
            </w:tcMar>
          </w:tcPr>
          <w:p>
            <w:pPr>
              <w:spacing w:after="0" w:line="252" w:lineRule="auto"/>
            </w:pPr>
            <w:r>
              <w:rPr>
                <w:rFonts w:ascii="Calibri" w:hAnsi="Calibri"/>
                <w:color w:val="0B1F1A"/>
                <w:sz w:val="16"/>
              </w:rPr>
              <w:t>'Recommendation is not active' or save fails</w:t>
            </w:r>
          </w:p>
        </w:tc>
        <w:tc>
          <w:tcPr>
            <w:tcW w:type="dxa" w:w="2376"/>
            <w:tcMar>
              <w:top w:w="70" w:type="dxa"/>
              <w:bottom w:w="70" w:type="dxa"/>
              <w:start w:w="90" w:type="dxa"/>
              <w:end w:w="90" w:type="dxa"/>
            </w:tcMar>
          </w:tcPr>
          <w:p>
            <w:pPr>
              <w:spacing w:after="0" w:line="252" w:lineRule="auto"/>
            </w:pPr>
            <w:r>
              <w:rPr>
                <w:rFonts w:ascii="Calibri" w:hAnsi="Calibri"/>
                <w:color w:val="0B1F1A"/>
                <w:sz w:val="16"/>
              </w:rPr>
              <w:t>Customer/recommendation mismatch, or missing customer ID</w:t>
            </w:r>
          </w:p>
        </w:tc>
        <w:tc>
          <w:tcPr>
            <w:tcW w:type="dxa" w:w="5040"/>
            <w:tcMar>
              <w:top w:w="70" w:type="dxa"/>
              <w:bottom w:w="70" w:type="dxa"/>
              <w:start w:w="90" w:type="dxa"/>
              <w:end w:w="90" w:type="dxa"/>
            </w:tcMar>
          </w:tcPr>
          <w:p>
            <w:pPr>
              <w:spacing w:after="0" w:line="252" w:lineRule="auto"/>
            </w:pPr>
            <w:r>
              <w:rPr>
                <w:rFonts w:ascii="Calibri" w:hAnsi="Calibri"/>
                <w:color w:val="0B1F1A"/>
                <w:sz w:val="16"/>
              </w:rPr>
              <w:t>Open the customer from the scored book and save one of the currently returned recommendations; for ad-hoc scores provide a customer ID.</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6"/>
              </w:rPr>
              <w:t>Port 8000 already in use</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Another process owns the port</w:t>
            </w:r>
          </w:p>
        </w:tc>
        <w:tc>
          <w:tcPr>
            <w:tcW w:type="dxa" w:w="5040"/>
            <w:tcMar>
              <w:top w:w="70" w:type="dxa"/>
              <w:bottom w:w="70" w:type="dxa"/>
              <w:start w:w="90" w:type="dxa"/>
              <w:end w:w="90" w:type="dxa"/>
            </w:tcMar>
            <w:shd w:val="clear" w:color="auto" w:fill="F5FAF8"/>
          </w:tcPr>
          <w:p>
            <w:pPr>
              <w:spacing w:after="0" w:line="252" w:lineRule="auto"/>
            </w:pPr>
            <w:r>
              <w:rPr>
                <w:rFonts w:ascii="Calibri" w:hAnsi="Calibri"/>
                <w:color w:val="0B1F1A"/>
                <w:sz w:val="16"/>
              </w:rPr>
              <w:t>Run `CHURN_PORT=8010 uv run churn-serve` and open :8010/app/, or stop the conflicting process.</w:t>
            </w:r>
          </w:p>
        </w:tc>
      </w:tr>
      <w:tr>
        <w:tc>
          <w:tcPr>
            <w:tcW w:type="dxa" w:w="2232"/>
            <w:tcMar>
              <w:top w:w="70" w:type="dxa"/>
              <w:bottom w:w="70" w:type="dxa"/>
              <w:start w:w="90" w:type="dxa"/>
              <w:end w:w="90" w:type="dxa"/>
            </w:tcMar>
          </w:tcPr>
          <w:p>
            <w:pPr>
              <w:spacing w:after="0" w:line="252" w:lineRule="auto"/>
            </w:pPr>
            <w:r>
              <w:rPr>
                <w:rFonts w:ascii="Calibri" w:hAnsi="Calibri"/>
                <w:color w:val="0B1F1A"/>
                <w:sz w:val="16"/>
              </w:rPr>
              <w:t>npm: command not found</w:t>
            </w:r>
          </w:p>
        </w:tc>
        <w:tc>
          <w:tcPr>
            <w:tcW w:type="dxa" w:w="2376"/>
            <w:tcMar>
              <w:top w:w="70" w:type="dxa"/>
              <w:bottom w:w="70" w:type="dxa"/>
              <w:start w:w="90" w:type="dxa"/>
              <w:end w:w="90" w:type="dxa"/>
            </w:tcMar>
          </w:tcPr>
          <w:p>
            <w:pPr>
              <w:spacing w:after="0" w:line="252" w:lineRule="auto"/>
            </w:pPr>
            <w:r>
              <w:rPr>
                <w:rFonts w:ascii="Calibri" w:hAnsi="Calibri"/>
                <w:color w:val="0B1F1A"/>
                <w:sz w:val="16"/>
              </w:rPr>
              <w:t>Node.js not installed on this machine</w:t>
            </w:r>
          </w:p>
        </w:tc>
        <w:tc>
          <w:tcPr>
            <w:tcW w:type="dxa" w:w="5040"/>
            <w:tcMar>
              <w:top w:w="70" w:type="dxa"/>
              <w:bottom w:w="70" w:type="dxa"/>
              <w:start w:w="90" w:type="dxa"/>
              <w:end w:w="90" w:type="dxa"/>
            </w:tcMar>
          </w:tcPr>
          <w:p>
            <w:pPr>
              <w:spacing w:after="0" w:line="252" w:lineRule="auto"/>
            </w:pPr>
            <w:r>
              <w:rPr>
                <w:rFonts w:ascii="Calibri" w:hAnsi="Calibri"/>
                <w:color w:val="0B1F1A"/>
                <w:sz w:val="16"/>
              </w:rPr>
              <w:t>The prebuilt bundle works without Node; install Node 22+ only if you need to rebuild the React source.</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6"/>
              </w:rPr>
              <w:t>UI looks stale after an edit</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Browser cache or old bundle</w:t>
            </w:r>
          </w:p>
        </w:tc>
        <w:tc>
          <w:tcPr>
            <w:tcW w:type="dxa" w:w="5040"/>
            <w:tcMar>
              <w:top w:w="70" w:type="dxa"/>
              <w:bottom w:w="70" w:type="dxa"/>
              <w:start w:w="90" w:type="dxa"/>
              <w:end w:w="90" w:type="dxa"/>
            </w:tcMar>
            <w:shd w:val="clear" w:color="auto" w:fill="F5FAF8"/>
          </w:tcPr>
          <w:p>
            <w:pPr>
              <w:spacing w:after="0" w:line="252" w:lineRule="auto"/>
            </w:pPr>
            <w:r>
              <w:rPr>
                <w:rFonts w:ascii="Calibri" w:hAnsi="Calibri"/>
                <w:color w:val="0B1F1A"/>
                <w:sz w:val="16"/>
              </w:rPr>
              <w:t>Hard-refresh Ctrl+F5; rebuild with `npm run build`; confirm the new hashed JS is served.</w:t>
            </w:r>
          </w:p>
        </w:tc>
      </w:tr>
      <w:tr>
        <w:tc>
          <w:tcPr>
            <w:tcW w:type="dxa" w:w="2232"/>
            <w:tcMar>
              <w:top w:w="70" w:type="dxa"/>
              <w:bottom w:w="70" w:type="dxa"/>
              <w:start w:w="90" w:type="dxa"/>
              <w:end w:w="90" w:type="dxa"/>
            </w:tcMar>
          </w:tcPr>
          <w:p>
            <w:pPr>
              <w:spacing w:after="0" w:line="252" w:lineRule="auto"/>
            </w:pPr>
            <w:r>
              <w:rPr>
                <w:rFonts w:ascii="Calibri" w:hAnsi="Calibri"/>
                <w:color w:val="0B1F1A"/>
                <w:sz w:val="16"/>
              </w:rPr>
              <w:t>CORS error from another origin</w:t>
            </w:r>
          </w:p>
        </w:tc>
        <w:tc>
          <w:tcPr>
            <w:tcW w:type="dxa" w:w="2376"/>
            <w:tcMar>
              <w:top w:w="70" w:type="dxa"/>
              <w:bottom w:w="70" w:type="dxa"/>
              <w:start w:w="90" w:type="dxa"/>
              <w:end w:w="90" w:type="dxa"/>
            </w:tcMar>
          </w:tcPr>
          <w:p>
            <w:pPr>
              <w:spacing w:after="0" w:line="252" w:lineRule="auto"/>
            </w:pPr>
            <w:r>
              <w:rPr>
                <w:rFonts w:ascii="Calibri" w:hAnsi="Calibri"/>
                <w:color w:val="0B1F1A"/>
                <w:sz w:val="16"/>
              </w:rPr>
              <w:t>Frontend served from a different host/port</w:t>
            </w:r>
          </w:p>
        </w:tc>
        <w:tc>
          <w:tcPr>
            <w:tcW w:type="dxa" w:w="5040"/>
            <w:tcMar>
              <w:top w:w="70" w:type="dxa"/>
              <w:bottom w:w="70" w:type="dxa"/>
              <w:start w:w="90" w:type="dxa"/>
              <w:end w:w="90" w:type="dxa"/>
            </w:tcMar>
          </w:tcPr>
          <w:p>
            <w:pPr>
              <w:spacing w:after="0" w:line="252" w:lineRule="auto"/>
            </w:pPr>
            <w:r>
              <w:rPr>
                <w:rFonts w:ascii="Calibri" w:hAnsi="Calibri"/>
                <w:color w:val="0B1F1A"/>
                <w:sz w:val="16"/>
              </w:rPr>
              <w:t>Use the same origin /app/; or set CHURN_CORS_ORIGINS to the frontend origin.</w:t>
            </w:r>
          </w:p>
        </w:tc>
      </w:tr>
      <w:tr>
        <w:tc>
          <w:tcPr>
            <w:tcW w:type="dxa" w:w="2232"/>
            <w:tcMar>
              <w:top w:w="70" w:type="dxa"/>
              <w:bottom w:w="70" w:type="dxa"/>
              <w:start w:w="90" w:type="dxa"/>
              <w:end w:w="90" w:type="dxa"/>
            </w:tcMar>
            <w:shd w:val="clear" w:color="auto" w:fill="F5FAF8"/>
          </w:tcPr>
          <w:p>
            <w:pPr>
              <w:spacing w:after="0" w:line="252" w:lineRule="auto"/>
            </w:pPr>
            <w:r>
              <w:rPr>
                <w:rFonts w:ascii="Calibri" w:hAnsi="Calibri"/>
                <w:color w:val="0B1F1A"/>
                <w:sz w:val="16"/>
              </w:rPr>
              <w:t>Screenshots/doc out of date</w:t>
            </w:r>
          </w:p>
        </w:tc>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Frontend or model changed</w:t>
            </w:r>
          </w:p>
        </w:tc>
        <w:tc>
          <w:tcPr>
            <w:tcW w:type="dxa" w:w="5040"/>
            <w:tcMar>
              <w:top w:w="70" w:type="dxa"/>
              <w:bottom w:w="70" w:type="dxa"/>
              <w:start w:w="90" w:type="dxa"/>
              <w:end w:w="90" w:type="dxa"/>
            </w:tcMar>
            <w:shd w:val="clear" w:color="auto" w:fill="F5FAF8"/>
          </w:tcPr>
          <w:p>
            <w:pPr>
              <w:spacing w:after="0" w:line="252" w:lineRule="auto"/>
            </w:pPr>
            <w:r>
              <w:rPr>
                <w:rFonts w:ascii="Calibri" w:hAnsi="Calibri"/>
                <w:color w:val="0B1F1A"/>
                <w:sz w:val="16"/>
              </w:rPr>
              <w:t>Re-run `uv run python scripts/generate_project_docs.py` after refreshing docs/screenshots.</w:t>
            </w:r>
          </w:p>
        </w:tc>
      </w:tr>
    </w:tbl>
    <w:p>
      <w:pPr>
        <w:spacing w:after="40"/>
      </w:pPr>
    </w:p>
    <w:p>
      <w:pPr>
        <w:pStyle w:val="Heading2"/>
        <w:keepNext/>
        <w:spacing w:before="180" w:after="100"/>
      </w:pPr>
      <w:r>
        <w:t>12.5 How to read a result correctly</w:t>
      </w:r>
    </w:p>
    <w:p>
      <w:pPr>
        <w:pStyle w:val="ListBullet"/>
        <w:spacing w:after="60"/>
      </w:pPr>
      <w:r>
        <w:t>Probability is a model score, not a guarantee. The risk band is a business grouping; the threshold is the operational cut-off.</w:t>
      </w:r>
    </w:p>
    <w:p>
      <w:pPr>
        <w:pStyle w:val="ListBullet"/>
        <w:spacing w:after="60"/>
      </w:pPr>
      <w:r>
        <w:t>The low/medium boundary equals the deployed threshold, so 'low risk' never means 'predicted churner'.</w:t>
      </w:r>
    </w:p>
    <w:p>
      <w:pPr>
        <w:pStyle w:val="ListBullet"/>
        <w:spacing w:after="60"/>
      </w:pPr>
      <w:r>
        <w:t>SHAP values are conditional on the rest of the profile. A protective contribution does not mean the feature is always good; it means it is protective for this customer relative to the model baseline.</w:t>
      </w:r>
    </w:p>
    <w:p>
      <w:pPr>
        <w:pStyle w:val="ListBullet"/>
        <w:spacing w:after="60"/>
      </w:pPr>
      <w:r>
        <w:t>top_risk_driver is the strongest risk-increasing factor and is the right field for customer-facing copy. top_drivers keeps the full signed list for analysts.</w:t>
      </w:r>
    </w:p>
    <w:p>
      <w:pPr>
        <w:pStyle w:val="ListBullet"/>
        <w:spacing w:after="60"/>
      </w:pPr>
      <w:r>
        <w:t>Recommendations are rule-based heuristics; validate expensive offers with an A/B test or an uplift model.</w:t>
      </w:r>
    </w:p>
    <w:p>
      <w:pPr>
        <w:pStyle w:val="ListBullet"/>
        <w:spacing w:after="60"/>
      </w:pPr>
      <w:r>
        <w:t>Annual revenue at risk = MonthlyCharges × 12 × P(churn). Estimated CLV is a revenue-only upper bound, not an accounting figure.</w:t>
      </w:r>
    </w:p>
    <w:p>
      <w:r>
        <w:br w:type="page"/>
      </w:r>
    </w:p>
    <w:p>
      <w:pPr>
        <w:pStyle w:val="Heading1"/>
        <w:keepNext/>
        <w:spacing w:before="240" w:after="100"/>
      </w:pPr>
      <w:r>
        <w:t>13. Testing and quality</w:t>
      </w:r>
    </w:p>
    <w:p>
      <w:pPr>
        <w:spacing w:after="140" w:line="307" w:lineRule="auto"/>
      </w:pPr>
      <w:r>
        <w:rPr>
          <w:i w:val="0"/>
        </w:rPr>
        <w:t>The repository contains 166 automated tests plus linting and a real headless-browser smoke test. The suite uses a small synthetic Telco-shaped dataset, so it runs without the Kaggle download or network access. Tests that need the real dataset or the trained artifact skip automatically when those files are absent.</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4819"/>
        <w:gridCol w:w="4819"/>
      </w:tblGrid>
      <w:tr>
        <w:trPr>
          <w:tblHeader w:val="true"/>
        </w:trPr>
        <w:tc>
          <w:tcPr>
            <w:tcW w:type="dxa" w:w="1872"/>
            <w:shd w:val="clear" w:color="auto" w:fill="0B3B2E"/>
            <w:tcMar>
              <w:top w:w="70" w:type="dxa"/>
              <w:bottom w:w="70" w:type="dxa"/>
              <w:start w:w="90" w:type="dxa"/>
              <w:end w:w="90" w:type="dxa"/>
            </w:tcMar>
          </w:tcPr>
          <w:p>
            <w:pPr>
              <w:spacing w:after="0"/>
            </w:pPr>
            <w:r>
              <w:rPr>
                <w:rFonts w:ascii="Calibri" w:hAnsi="Calibri"/>
                <w:b/>
                <w:color w:val="FFFFFF"/>
                <w:sz w:val="16"/>
              </w:rPr>
              <w:t>Area</w:t>
            </w:r>
          </w:p>
        </w:tc>
        <w:tc>
          <w:tcPr>
            <w:tcW w:type="dxa" w:w="7776"/>
            <w:shd w:val="clear" w:color="auto" w:fill="0B3B2E"/>
            <w:tcMar>
              <w:top w:w="70" w:type="dxa"/>
              <w:bottom w:w="70" w:type="dxa"/>
              <w:start w:w="90" w:type="dxa"/>
              <w:end w:w="90" w:type="dxa"/>
            </w:tcMar>
          </w:tcPr>
          <w:p>
            <w:pPr>
              <w:spacing w:after="0"/>
            </w:pPr>
            <w:r>
              <w:rPr>
                <w:rFonts w:ascii="Calibri" w:hAnsi="Calibri"/>
                <w:b/>
                <w:color w:val="FFFFFF"/>
                <w:sz w:val="16"/>
              </w:rPr>
              <w:t>What is verified</w:t>
            </w:r>
          </w:p>
        </w:tc>
      </w:tr>
      <w:tr>
        <w:tc>
          <w:tcPr>
            <w:tcW w:type="dxa" w:w="1872"/>
            <w:tcMar>
              <w:top w:w="70" w:type="dxa"/>
              <w:bottom w:w="70" w:type="dxa"/>
              <w:start w:w="90" w:type="dxa"/>
              <w:end w:w="90" w:type="dxa"/>
            </w:tcMar>
          </w:tcPr>
          <w:p>
            <w:pPr>
              <w:spacing w:after="0" w:line="252" w:lineRule="auto"/>
            </w:pPr>
            <w:r>
              <w:rPr>
                <w:rFonts w:ascii="Calibri" w:hAnsi="Calibri"/>
                <w:color w:val="0B1F1A"/>
                <w:sz w:val="16"/>
              </w:rPr>
              <w:t>Data</w:t>
            </w:r>
          </w:p>
        </w:tc>
        <w:tc>
          <w:tcPr>
            <w:tcW w:type="dxa" w:w="7776"/>
            <w:tcMar>
              <w:top w:w="70" w:type="dxa"/>
              <w:bottom w:w="70" w:type="dxa"/>
              <w:start w:w="90" w:type="dxa"/>
              <w:end w:w="90" w:type="dxa"/>
            </w:tcMar>
          </w:tcPr>
          <w:p>
            <w:pPr>
              <w:spacing w:after="0" w:line="252" w:lineRule="auto"/>
            </w:pPr>
            <w:r>
              <w:rPr>
                <w:rFonts w:ascii="Calibri" w:hAnsi="Calibri"/>
                <w:color w:val="0B1F1A"/>
                <w:sz w:val="16"/>
              </w:rPr>
              <w:t>Cleaning, semantic TotalCharges fill, target mapping, split, engineered features</w:t>
            </w:r>
          </w:p>
        </w:tc>
      </w:tr>
      <w:tr>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Features</w:t>
            </w:r>
          </w:p>
        </w:tc>
        <w:tc>
          <w:tcPr>
            <w:tcW w:type="dxa" w:w="7776"/>
            <w:tcMar>
              <w:top w:w="70" w:type="dxa"/>
              <w:bottom w:w="70" w:type="dxa"/>
              <w:start w:w="90" w:type="dxa"/>
              <w:end w:w="90" w:type="dxa"/>
            </w:tcMar>
            <w:shd w:val="clear" w:color="auto" w:fill="F5FAF8"/>
          </w:tcPr>
          <w:p>
            <w:pPr>
              <w:spacing w:after="0" w:line="252" w:lineRule="auto"/>
            </w:pPr>
            <w:r>
              <w:rPr>
                <w:rFonts w:ascii="Calibri" w:hAnsi="Calibri"/>
                <w:color w:val="0B1F1A"/>
                <w:sz w:val="16"/>
              </w:rPr>
              <w:t>All six pipelines, unseen categories, imputation, deterministic probabilities</w:t>
            </w:r>
          </w:p>
        </w:tc>
      </w:tr>
      <w:tr>
        <w:tc>
          <w:tcPr>
            <w:tcW w:type="dxa" w:w="1872"/>
            <w:tcMar>
              <w:top w:w="70" w:type="dxa"/>
              <w:bottom w:w="70" w:type="dxa"/>
              <w:start w:w="90" w:type="dxa"/>
              <w:end w:w="90" w:type="dxa"/>
            </w:tcMar>
          </w:tcPr>
          <w:p>
            <w:pPr>
              <w:spacing w:after="0" w:line="252" w:lineRule="auto"/>
            </w:pPr>
            <w:r>
              <w:rPr>
                <w:rFonts w:ascii="Calibri" w:hAnsi="Calibri"/>
                <w:color w:val="0B1F1A"/>
                <w:sz w:val="16"/>
              </w:rPr>
              <w:t>Models</w:t>
            </w:r>
          </w:p>
        </w:tc>
        <w:tc>
          <w:tcPr>
            <w:tcW w:type="dxa" w:w="7776"/>
            <w:tcMar>
              <w:top w:w="70" w:type="dxa"/>
              <w:bottom w:w="70" w:type="dxa"/>
              <w:start w:w="90" w:type="dxa"/>
              <w:end w:w="90" w:type="dxa"/>
            </w:tcMar>
          </w:tcPr>
          <w:p>
            <w:pPr>
              <w:spacing w:after="0" w:line="252" w:lineRule="auto"/>
            </w:pPr>
            <w:r>
              <w:rPr>
                <w:rFonts w:ascii="Calibri" w:hAnsi="Calibri"/>
                <w:color w:val="0B1F1A"/>
                <w:sz w:val="16"/>
              </w:rPr>
              <w:t>Registry, probability support, deterministic fits, coefficient alignment</w:t>
            </w:r>
          </w:p>
        </w:tc>
      </w:tr>
      <w:tr>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Evaluation</w:t>
            </w:r>
          </w:p>
        </w:tc>
        <w:tc>
          <w:tcPr>
            <w:tcW w:type="dxa" w:w="7776"/>
            <w:tcMar>
              <w:top w:w="70" w:type="dxa"/>
              <w:bottom w:w="70" w:type="dxa"/>
              <w:start w:w="90" w:type="dxa"/>
              <w:end w:w="90" w:type="dxa"/>
            </w:tcMar>
            <w:shd w:val="clear" w:color="auto" w:fill="F5FAF8"/>
          </w:tcPr>
          <w:p>
            <w:pPr>
              <w:spacing w:after="0" w:line="252" w:lineRule="auto"/>
            </w:pPr>
            <w:r>
              <w:rPr>
                <w:rFonts w:ascii="Calibri" w:hAnsi="Calibri"/>
                <w:color w:val="0B1F1A"/>
                <w:sz w:val="16"/>
              </w:rPr>
              <w:t>Metric math, threshold tuning, curve downsampling, CV summaries</w:t>
            </w:r>
          </w:p>
        </w:tc>
      </w:tr>
      <w:tr>
        <w:tc>
          <w:tcPr>
            <w:tcW w:type="dxa" w:w="1872"/>
            <w:tcMar>
              <w:top w:w="70" w:type="dxa"/>
              <w:bottom w:w="70" w:type="dxa"/>
              <w:start w:w="90" w:type="dxa"/>
              <w:end w:w="90" w:type="dxa"/>
            </w:tcMar>
          </w:tcPr>
          <w:p>
            <w:pPr>
              <w:spacing w:after="0" w:line="252" w:lineRule="auto"/>
            </w:pPr>
            <w:r>
              <w:rPr>
                <w:rFonts w:ascii="Calibri" w:hAnsi="Calibri"/>
                <w:color w:val="0B1F1A"/>
                <w:sz w:val="16"/>
              </w:rPr>
              <w:t>Explainability</w:t>
            </w:r>
          </w:p>
        </w:tc>
        <w:tc>
          <w:tcPr>
            <w:tcW w:type="dxa" w:w="7776"/>
            <w:tcMar>
              <w:top w:w="70" w:type="dxa"/>
              <w:bottom w:w="70" w:type="dxa"/>
              <w:start w:w="90" w:type="dxa"/>
              <w:end w:w="90" w:type="dxa"/>
            </w:tcMar>
          </w:tcPr>
          <w:p>
            <w:pPr>
              <w:spacing w:after="0" w:line="252" w:lineRule="auto"/>
            </w:pPr>
            <w:r>
              <w:rPr>
                <w:rFonts w:ascii="Calibri" w:hAnsi="Calibri"/>
                <w:color w:val="0B1F1A"/>
                <w:sz w:val="16"/>
              </w:rPr>
              <w:t>SHAP shape/additivity, actual-category drivers, tree/permutation paths, native importance</w:t>
            </w:r>
          </w:p>
        </w:tc>
      </w:tr>
      <w:tr>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Recommendations</w:t>
            </w:r>
          </w:p>
        </w:tc>
        <w:tc>
          <w:tcPr>
            <w:tcW w:type="dxa" w:w="7776"/>
            <w:tcMar>
              <w:top w:w="70" w:type="dxa"/>
              <w:bottom w:w="70" w:type="dxa"/>
              <w:start w:w="90" w:type="dxa"/>
              <w:end w:w="90" w:type="dxa"/>
            </w:tcMar>
            <w:shd w:val="clear" w:color="auto" w:fill="F5FAF8"/>
          </w:tcPr>
          <w:p>
            <w:pPr>
              <w:spacing w:after="0" w:line="252" w:lineRule="auto"/>
            </w:pPr>
            <w:r>
              <w:rPr>
                <w:rFonts w:ascii="Calibri" w:hAnsi="Calibri"/>
                <w:color w:val="0B1F1A"/>
                <w:sz w:val="16"/>
              </w:rPr>
              <w:t>All 14 rules, priority ordering, limits, low-risk nurture, no-internet suppression</w:t>
            </w:r>
          </w:p>
        </w:tc>
      </w:tr>
      <w:tr>
        <w:tc>
          <w:tcPr>
            <w:tcW w:type="dxa" w:w="1872"/>
            <w:tcMar>
              <w:top w:w="70" w:type="dxa"/>
              <w:bottom w:w="70" w:type="dxa"/>
              <w:start w:w="90" w:type="dxa"/>
              <w:end w:w="90" w:type="dxa"/>
            </w:tcMar>
          </w:tcPr>
          <w:p>
            <w:pPr>
              <w:spacing w:after="0" w:line="252" w:lineRule="auto"/>
            </w:pPr>
            <w:r>
              <w:rPr>
                <w:rFonts w:ascii="Calibri" w:hAnsi="Calibri"/>
                <w:color w:val="0B1F1A"/>
                <w:sz w:val="16"/>
              </w:rPr>
              <w:t>Risk</w:t>
            </w:r>
          </w:p>
        </w:tc>
        <w:tc>
          <w:tcPr>
            <w:tcW w:type="dxa" w:w="7776"/>
            <w:tcMar>
              <w:top w:w="70" w:type="dxa"/>
              <w:bottom w:w="70" w:type="dxa"/>
              <w:start w:w="90" w:type="dxa"/>
              <w:end w:w="90" w:type="dxa"/>
            </w:tcMar>
          </w:tcPr>
          <w:p>
            <w:pPr>
              <w:spacing w:after="0" w:line="252" w:lineRule="auto"/>
            </w:pPr>
            <w:r>
              <w:rPr>
                <w:rFonts w:ascii="Calibri" w:hAnsi="Calibri"/>
                <w:color w:val="0B1F1A"/>
                <w:sz w:val="16"/>
              </w:rPr>
              <w:t>Band boundaries, threshold alignment, revenue/CLV formulas</w:t>
            </w:r>
          </w:p>
        </w:tc>
      </w:tr>
      <w:tr>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API</w:t>
            </w:r>
          </w:p>
        </w:tc>
        <w:tc>
          <w:tcPr>
            <w:tcW w:type="dxa" w:w="7776"/>
            <w:tcMar>
              <w:top w:w="70" w:type="dxa"/>
              <w:bottom w:w="70" w:type="dxa"/>
              <w:start w:w="90" w:type="dxa"/>
              <w:end w:w="90" w:type="dxa"/>
            </w:tcMar>
            <w:shd w:val="clear" w:color="auto" w:fill="F5FAF8"/>
          </w:tcPr>
          <w:p>
            <w:pPr>
              <w:spacing w:after="0" w:line="252" w:lineRule="auto"/>
            </w:pPr>
            <w:r>
              <w:rPr>
                <w:rFonts w:ascii="Calibri" w:hAnsi="Calibri"/>
                <w:color w:val="0B1F1A"/>
                <w:sz w:val="16"/>
              </w:rPr>
              <w:t>Every route, validation, 404/503, batch, dashboard, history, feedback, actions, static frontend</w:t>
            </w:r>
          </w:p>
        </w:tc>
      </w:tr>
      <w:tr>
        <w:tc>
          <w:tcPr>
            <w:tcW w:type="dxa" w:w="1872"/>
            <w:tcMar>
              <w:top w:w="70" w:type="dxa"/>
              <w:bottom w:w="70" w:type="dxa"/>
              <w:start w:w="90" w:type="dxa"/>
              <w:end w:w="90" w:type="dxa"/>
            </w:tcMar>
          </w:tcPr>
          <w:p>
            <w:pPr>
              <w:spacing w:after="0" w:line="252" w:lineRule="auto"/>
            </w:pPr>
            <w:r>
              <w:rPr>
                <w:rFonts w:ascii="Calibri" w:hAnsi="Calibri"/>
                <w:color w:val="0B1F1A"/>
                <w:sz w:val="16"/>
              </w:rPr>
              <w:t>Persistence</w:t>
            </w:r>
          </w:p>
        </w:tc>
        <w:tc>
          <w:tcPr>
            <w:tcW w:type="dxa" w:w="7776"/>
            <w:tcMar>
              <w:top w:w="70" w:type="dxa"/>
              <w:bottom w:w="70" w:type="dxa"/>
              <w:start w:w="90" w:type="dxa"/>
              <w:end w:w="90" w:type="dxa"/>
            </w:tcMar>
          </w:tcPr>
          <w:p>
            <w:pPr>
              <w:spacing w:after="0" w:line="252" w:lineRule="auto"/>
            </w:pPr>
            <w:r>
              <w:rPr>
                <w:rFonts w:ascii="Calibri" w:hAnsi="Calibri"/>
                <w:color w:val="0B1F1A"/>
                <w:sz w:val="16"/>
              </w:rPr>
              <w:t>Prediction log, feedback, action CRUD, idempotent upsert, shared database file</w:t>
            </w:r>
          </w:p>
        </w:tc>
      </w:tr>
      <w:tr>
        <w:tc>
          <w:tcPr>
            <w:tcW w:type="dxa" w:w="1872"/>
            <w:tcMar>
              <w:top w:w="70" w:type="dxa"/>
              <w:bottom w:w="70" w:type="dxa"/>
              <w:start w:w="90" w:type="dxa"/>
              <w:end w:w="90" w:type="dxa"/>
            </w:tcMar>
            <w:shd w:val="clear" w:color="auto" w:fill="F5FAF8"/>
          </w:tcPr>
          <w:p>
            <w:pPr>
              <w:spacing w:after="0" w:line="252" w:lineRule="auto"/>
            </w:pPr>
            <w:r>
              <w:rPr>
                <w:rFonts w:ascii="Calibri" w:hAnsi="Calibri"/>
                <w:color w:val="0B1F1A"/>
                <w:sz w:val="16"/>
              </w:rPr>
              <w:t>End-to-end</w:t>
            </w:r>
          </w:p>
        </w:tc>
        <w:tc>
          <w:tcPr>
            <w:tcW w:type="dxa" w:w="7776"/>
            <w:tcMar>
              <w:top w:w="70" w:type="dxa"/>
              <w:bottom w:w="70" w:type="dxa"/>
              <w:start w:w="90" w:type="dxa"/>
              <w:end w:w="90" w:type="dxa"/>
            </w:tcMar>
            <w:shd w:val="clear" w:color="auto" w:fill="F5FAF8"/>
          </w:tcPr>
          <w:p>
            <w:pPr>
              <w:spacing w:after="0" w:line="252" w:lineRule="auto"/>
            </w:pPr>
            <w:r>
              <w:rPr>
                <w:rFonts w:ascii="Calibri" w:hAnsi="Calibri"/>
                <w:color w:val="0B1F1A"/>
                <w:sz w:val="16"/>
              </w:rPr>
              <w:t>Fast training run, artifacts, metadata, scored CSV, 13 figures and model card</w:t>
            </w:r>
          </w:p>
        </w:tc>
      </w:tr>
    </w:tbl>
    <w:p>
      <w:pPr>
        <w:spacing w:after="40"/>
      </w:pPr>
    </w:p>
    <w:p>
      <w:pPr>
        <w:spacing w:after="140" w:line="307" w:lineRule="auto"/>
      </w:pPr>
      <w:r>
        <w:rPr>
          <w:i w:val="0"/>
        </w:rPr>
        <w:t>A Playwright smoke test exercised the live UI end to end: overview, customers, drawer, saving an action, the queue, scoring a customer, insights and history. It reported zero console errors and zero failed network requests.</w:t>
      </w:r>
    </w:p>
    <w:tbl>
      <w:tblPr>
        <w:tblW w:type="auto" w:w="0"/>
        <w:jc w:val="center"/>
        <w:tblLook w:firstColumn="1" w:firstRow="1" w:lastColumn="0" w:lastRow="0" w:noHBand="0" w:noVBand="1" w:val="04A0"/>
        <w:tblBorders>
          <w:top w:val="single" w:sz="6" w:space="0" w:color="BFE8D5"/>
          <w:left w:val="single" w:sz="6" w:space="0" w:color="BFE8D5"/>
          <w:bottom w:val="single" w:sz="6" w:space="0" w:color="BFE8D5"/>
          <w:right w:val="single" w:sz="6" w:space="0" w:color="BFE8D5"/>
          <w:insideH w:val="single" w:sz="6" w:space="0" w:color="BFE8D5"/>
          <w:insideV w:val="single" w:sz="6" w:space="0" w:color="BFE8D5"/>
        </w:tblBorders>
      </w:tblPr>
      <w:tblGrid>
        <w:gridCol w:w="9638"/>
      </w:tblGrid>
      <w:tr>
        <w:tc>
          <w:tcPr>
            <w:tcW w:type="dxa" w:w="9638"/>
            <w:shd w:val="clear" w:color="auto" w:fill="F1FAF6"/>
            <w:tcMar>
              <w:top w:w="130" w:type="dxa"/>
              <w:bottom w:w="130" w:type="dxa"/>
              <w:start w:w="170" w:type="dxa"/>
              <w:end w:w="170" w:type="dxa"/>
            </w:tcMar>
          </w:tcPr>
          <w:p>
            <w:pPr>
              <w:spacing w:after="60"/>
            </w:pPr>
            <w:r>
              <w:rPr>
                <w:b/>
                <w:color w:val="0EA96F"/>
                <w:sz w:val="19"/>
              </w:rPr>
              <w:t>Reproduction commands</w:t>
            </w:r>
          </w:p>
          <w:p>
            <w:pPr>
              <w:spacing w:after="0" w:line="288" w:lineRule="auto"/>
            </w:pPr>
            <w:r>
              <w:rPr>
                <w:color w:val="0B1F1A"/>
                <w:sz w:val="18"/>
              </w:rPr>
              <w:t>uv sync  →  uv run python scripts/download_data.py  →  uv run churn-train  →  uv run churn-serve  →  open http://127.0.0.1:8000/app/</w:t>
            </w:r>
          </w:p>
        </w:tc>
      </w:tr>
    </w:tbl>
    <w:p>
      <w:pPr>
        <w:spacing w:after="40"/>
      </w:pPr>
    </w:p>
    <w:p>
      <w:r>
        <w:br w:type="page"/>
      </w:r>
    </w:p>
    <w:p>
      <w:pPr>
        <w:pStyle w:val="Heading1"/>
        <w:keepNext/>
        <w:spacing w:before="240" w:after="100"/>
      </w:pPr>
      <w:r>
        <w:t>14. Limitations, ethics and future work</w:t>
      </w:r>
    </w:p>
    <w:p>
      <w:pPr>
        <w:pStyle w:val="Heading2"/>
        <w:keepNext/>
        <w:spacing w:before="180" w:after="100"/>
      </w:pPr>
      <w:r>
        <w:t>14.1 Limitations</w:t>
      </w:r>
    </w:p>
    <w:p>
      <w:pPr>
        <w:pStyle w:val="ListBullet"/>
        <w:spacing w:after="60"/>
      </w:pPr>
      <w:r>
        <w:t>Observational data: associations are not causal effects; offers need A/B or uplift validation.</w:t>
      </w:r>
    </w:p>
    <w:p>
      <w:pPr>
        <w:pStyle w:val="ListBullet"/>
        <w:spacing w:after="60"/>
      </w:pPr>
      <w:r>
        <w:t>The dataset is US-centric and partly synthetic; performance may drift in other markets.</w:t>
      </w:r>
    </w:p>
    <w:p>
      <w:pPr>
        <w:pStyle w:val="ListBullet"/>
        <w:spacing w:after="60"/>
      </w:pPr>
      <w:r>
        <w:t>Probabilities are not post-hoc calibrated; Brier score and reliability are reported.</w:t>
      </w:r>
    </w:p>
    <w:p>
      <w:pPr>
        <w:pStyle w:val="ListBullet"/>
        <w:spacing w:after="60"/>
      </w:pPr>
      <w:r>
        <w:t>The threshold optimises F1, not the real monetary cost of a missed churner versus a wasted offer.</w:t>
      </w:r>
    </w:p>
    <w:p>
      <w:pPr>
        <w:pStyle w:val="ListBullet"/>
        <w:spacing w:after="60"/>
      </w:pPr>
      <w:r>
        <w:t>Recommendations are hand-written heuristics, not learned uplift. Offers need eligibility and cost constraints.</w:t>
      </w:r>
    </w:p>
    <w:p>
      <w:pPr>
        <w:pStyle w:val="ListBullet"/>
        <w:spacing w:after="60"/>
      </w:pPr>
      <w:r>
        <w:t>CLV is revenue-only, with a capped expected tenure and no margin or discounting.</w:t>
      </w:r>
    </w:p>
    <w:p>
      <w:pPr>
        <w:pStyle w:val="ListBullet"/>
        <w:spacing w:after="60"/>
      </w:pPr>
      <w:r>
        <w:t>SHAP explains the model, not the customer's true reason for leaving.</w:t>
      </w:r>
    </w:p>
    <w:p>
      <w:pPr>
        <w:pStyle w:val="Heading2"/>
        <w:keepNext/>
        <w:spacing w:before="180" w:after="100"/>
      </w:pPr>
      <w:r>
        <w:t>14.2 Responsible use</w:t>
      </w:r>
    </w:p>
    <w:p>
      <w:pPr>
        <w:pStyle w:val="ListBullet"/>
        <w:spacing w:after="60"/>
      </w:pPr>
      <w:r>
        <w:t>Use the model to target support and offers, never to deny service or price discriminatorily.</w:t>
      </w:r>
    </w:p>
    <w:p>
      <w:pPr>
        <w:pStyle w:val="ListBullet"/>
        <w:spacing w:after="60"/>
      </w:pPr>
      <w:r>
        <w:t>Review gender and senior-status usage; monitor for disparate impact.</w:t>
      </w:r>
    </w:p>
    <w:p>
      <w:pPr>
        <w:pStyle w:val="ListBullet"/>
        <w:spacing w:after="60"/>
      </w:pPr>
      <w:r>
        <w:t>Keep a human in the loop for customer-facing offers.</w:t>
      </w:r>
    </w:p>
    <w:p>
      <w:pPr>
        <w:pStyle w:val="ListBullet"/>
        <w:spacing w:after="60"/>
      </w:pPr>
      <w:r>
        <w:t>Do not expose raw customer payloads beyond the local demo; add authentication and role-based access before production.</w:t>
      </w:r>
    </w:p>
    <w:p>
      <w:pPr>
        <w:pStyle w:val="ListBullet"/>
        <w:spacing w:after="60"/>
      </w:pPr>
      <w:r>
        <w:t>Monitor drift in feature distributions, calibration and business outcomes; retrain when the product portfolio changes.</w:t>
      </w:r>
    </w:p>
    <w:p>
      <w:pPr>
        <w:pStyle w:val="Heading2"/>
        <w:keepNext/>
        <w:spacing w:before="180" w:after="100"/>
      </w:pPr>
      <w:r>
        <w:t>14.3 Future work</w:t>
      </w:r>
    </w:p>
    <w:p>
      <w:pPr>
        <w:pStyle w:val="ListBullet"/>
        <w:spacing w:after="60"/>
      </w:pPr>
      <w:r>
        <w:t>Nested cross-validation and Bayesian/random hyperparameter search.</w:t>
      </w:r>
    </w:p>
    <w:p>
      <w:pPr>
        <w:pStyle w:val="ListBullet"/>
        <w:spacing w:after="60"/>
      </w:pPr>
      <w:r>
        <w:t>Probability calibration (isotonic or Platt) and cost-sensitive threshold optimisation per channel.</w:t>
      </w:r>
    </w:p>
    <w:p>
      <w:pPr>
        <w:pStyle w:val="ListBullet"/>
        <w:spacing w:after="60"/>
      </w:pPr>
      <w:r>
        <w:t>Uplift modelling and causal retention targeting.</w:t>
      </w:r>
    </w:p>
    <w:p>
      <w:pPr>
        <w:pStyle w:val="ListBullet"/>
        <w:spacing w:after="60"/>
      </w:pPr>
      <w:r>
        <w:t>Scheduled retraining, drift monitoring and model registry/versioning.</w:t>
      </w:r>
    </w:p>
    <w:p>
      <w:pPr>
        <w:pStyle w:val="ListBullet"/>
        <w:spacing w:after="60"/>
      </w:pPr>
      <w:r>
        <w:t>PostgreSQL/MySQL + authentication for a multi-user deployment.</w:t>
      </w:r>
    </w:p>
    <w:p>
      <w:pPr>
        <w:pStyle w:val="ListBullet"/>
        <w:spacing w:after="60"/>
      </w:pPr>
      <w:r>
        <w:t>Docker, CI/CD, rate limiting and audit logging.</w:t>
      </w:r>
    </w:p>
    <w:p>
      <w:pPr>
        <w:pStyle w:val="ListBullet"/>
        <w:spacing w:after="60"/>
      </w:pPr>
      <w:r>
        <w:t>Frontend A/B testing of retention offers and a closed-loop dashboard.</w:t>
      </w:r>
    </w:p>
    <w:p>
      <w:r>
        <w:br w:type="page"/>
      </w:r>
    </w:p>
    <w:p>
      <w:pPr>
        <w:pStyle w:val="Heading1"/>
        <w:keepNext/>
        <w:spacing w:before="240" w:after="100"/>
      </w:pPr>
      <w:r>
        <w:t>15. Viva preparation: 40 questions and answers</w:t>
      </w:r>
    </w:p>
    <w:p>
      <w:pPr>
        <w:spacing w:before="120" w:after="40"/>
      </w:pPr>
      <w:r>
        <w:rPr>
          <w:b/>
          <w:color w:val="0B1F1A"/>
          <w:sz w:val="20"/>
        </w:rPr>
        <w:t>Q1. What is customer churn?</w:t>
      </w:r>
    </w:p>
    <w:p>
      <w:pPr>
        <w:spacing w:after="100"/>
        <w:ind w:left="255"/>
      </w:pPr>
      <w:r>
        <w:rPr>
          <w:color w:val="2B3D35"/>
          <w:sz w:val="18"/>
        </w:rPr>
        <w:t>Churn is the loss of an existing customer — cancellation, non-renewal or migration to a competitor. In this dataset it is the binary Churn column.</w:t>
      </w:r>
    </w:p>
    <w:p>
      <w:pPr>
        <w:spacing w:before="120" w:after="40"/>
      </w:pPr>
      <w:r>
        <w:rPr>
          <w:b/>
          <w:color w:val="0B1F1A"/>
          <w:sz w:val="20"/>
        </w:rPr>
        <w:t>Q2. Why is churn prediction important?</w:t>
      </w:r>
    </w:p>
    <w:p>
      <w:pPr>
        <w:spacing w:after="100"/>
        <w:ind w:left="255"/>
      </w:pPr>
      <w:r>
        <w:rPr>
          <w:color w:val="2B3D35"/>
          <w:sz w:val="18"/>
        </w:rPr>
        <w:t>Recurring revenue falls and acquisition costs rise. Early identification lets the business intervene before the customer leaves.</w:t>
      </w:r>
    </w:p>
    <w:p>
      <w:pPr>
        <w:spacing w:before="120" w:after="40"/>
      </w:pPr>
      <w:r>
        <w:rPr>
          <w:b/>
          <w:color w:val="0B1F1A"/>
          <w:sz w:val="20"/>
        </w:rPr>
        <w:t>Q3. Why use machine learning instead of fixed rules?</w:t>
      </w:r>
    </w:p>
    <w:p>
      <w:pPr>
        <w:spacing w:after="100"/>
        <w:ind w:left="255"/>
      </w:pPr>
      <w:r>
        <w:rPr>
          <w:color w:val="2B3D35"/>
          <w:sz w:val="18"/>
        </w:rPr>
        <w:t>Churn depends on many interacting attributes. A model learns nonlinear and multivariate patterns and produces a probability, while rules remain useful for the action layer.</w:t>
      </w:r>
    </w:p>
    <w:p>
      <w:pPr>
        <w:spacing w:before="120" w:after="40"/>
      </w:pPr>
      <w:r>
        <w:rPr>
          <w:b/>
          <w:color w:val="0B1F1A"/>
          <w:sz w:val="20"/>
        </w:rPr>
        <w:t>Q4. Is this supervised or unsupervised learning?</w:t>
      </w:r>
    </w:p>
    <w:p>
      <w:pPr>
        <w:spacing w:after="100"/>
        <w:ind w:left="255"/>
      </w:pPr>
      <w:r>
        <w:rPr>
          <w:color w:val="2B3D35"/>
          <w:sz w:val="18"/>
        </w:rPr>
        <w:t>Supervised binary classification: the historical Churn label is the target.</w:t>
      </w:r>
    </w:p>
    <w:p>
      <w:pPr>
        <w:spacing w:before="120" w:after="40"/>
      </w:pPr>
      <w:r>
        <w:rPr>
          <w:b/>
          <w:color w:val="0B1F1A"/>
          <w:sz w:val="20"/>
        </w:rPr>
        <w:t>Q5. Why is accuracy a bad primary metric?</w:t>
      </w:r>
    </w:p>
    <w:p>
      <w:pPr>
        <w:spacing w:after="100"/>
        <w:ind w:left="255"/>
      </w:pPr>
      <w:r>
        <w:rPr>
          <w:color w:val="2B3D35"/>
          <w:sz w:val="18"/>
        </w:rPr>
        <w:t>The classes are imbalanced (~26.5% churn). Predicting 'stay' for everyone gives ~73% accuracy while catching zero churners.</w:t>
      </w:r>
    </w:p>
    <w:p>
      <w:pPr>
        <w:spacing w:before="120" w:after="40"/>
      </w:pPr>
      <w:r>
        <w:rPr>
          <w:b/>
          <w:color w:val="0B1F1A"/>
          <w:sz w:val="20"/>
        </w:rPr>
        <w:t>Q6. Describe the dataset.</w:t>
      </w:r>
    </w:p>
    <w:p>
      <w:pPr>
        <w:spacing w:after="100"/>
        <w:ind w:left="255"/>
      </w:pPr>
      <w:r>
        <w:rPr>
          <w:color w:val="2B3D35"/>
          <w:sz w:val="18"/>
        </w:rPr>
        <w:t>7,043 IBM Telco customers, 21 raw columns, one row per customer, 26.5% churn.</w:t>
      </w:r>
    </w:p>
    <w:p>
      <w:pPr>
        <w:spacing w:before="120" w:after="40"/>
      </w:pPr>
      <w:r>
        <w:rPr>
          <w:b/>
          <w:color w:val="0B1F1A"/>
          <w:sz w:val="20"/>
        </w:rPr>
        <w:t>Q7. What is the target distribution?</w:t>
      </w:r>
    </w:p>
    <w:p>
      <w:pPr>
        <w:spacing w:after="100"/>
        <w:ind w:left="255"/>
      </w:pPr>
      <w:r>
        <w:rPr>
          <w:color w:val="2B3D35"/>
          <w:sz w:val="18"/>
        </w:rPr>
        <w:t>About 1,869 churners and 5,174 non-churners, a roughly 1:2.8 imbalance.</w:t>
      </w:r>
    </w:p>
    <w:p>
      <w:pPr>
        <w:spacing w:before="120" w:after="40"/>
      </w:pPr>
      <w:r>
        <w:rPr>
          <w:b/>
          <w:color w:val="0B1F1A"/>
          <w:sz w:val="20"/>
        </w:rPr>
        <w:t>Q8. What was wrong with TotalCharges?</w:t>
      </w:r>
    </w:p>
    <w:p>
      <w:pPr>
        <w:spacing w:after="100"/>
        <w:ind w:left="255"/>
      </w:pPr>
      <w:r>
        <w:rPr>
          <w:color w:val="2B3D35"/>
          <w:sz w:val="18"/>
        </w:rPr>
        <w:t>Eleven blank strings for customers with tenure = 0. They are semantic zeros, so they are filled with 0 rather than the median.</w:t>
      </w:r>
    </w:p>
    <w:p>
      <w:pPr>
        <w:spacing w:before="120" w:after="40"/>
      </w:pPr>
      <w:r>
        <w:rPr>
          <w:b/>
          <w:color w:val="0B1F1A"/>
          <w:sz w:val="20"/>
        </w:rPr>
        <w:t>Q9. Why not use customerID?</w:t>
      </w:r>
    </w:p>
    <w:p>
      <w:pPr>
        <w:spacing w:after="100"/>
        <w:ind w:left="255"/>
      </w:pPr>
      <w:r>
        <w:rPr>
          <w:color w:val="2B3D35"/>
          <w:sz w:val="18"/>
        </w:rPr>
        <w:t>It is an arbitrary identifier with no generalisable signal; using it risks memorisation and leakage.</w:t>
      </w:r>
    </w:p>
    <w:p>
      <w:pPr>
        <w:spacing w:before="120" w:after="40"/>
      </w:pPr>
      <w:r>
        <w:rPr>
          <w:b/>
          <w:color w:val="0B1F1A"/>
          <w:sz w:val="20"/>
        </w:rPr>
        <w:t>Q10. Which features were engineered?</w:t>
      </w:r>
    </w:p>
    <w:p>
      <w:pPr>
        <w:spacing w:after="100"/>
        <w:ind w:left="255"/>
      </w:pPr>
      <w:r>
        <w:rPr>
          <w:color w:val="2B3D35"/>
          <w:sz w:val="18"/>
        </w:rPr>
        <w:t>NumServices, SupportServices, StreamingServices, IsNewCustomer and HasFamily.</w:t>
      </w:r>
    </w:p>
    <w:p>
      <w:pPr>
        <w:spacing w:before="120" w:after="40"/>
      </w:pPr>
      <w:r>
        <w:rPr>
          <w:b/>
          <w:color w:val="0B1F1A"/>
          <w:sz w:val="20"/>
        </w:rPr>
        <w:t>Q11. Why were ratio features removed?</w:t>
      </w:r>
    </w:p>
    <w:p>
      <w:pPr>
        <w:spacing w:after="100"/>
        <w:ind w:left="255"/>
      </w:pPr>
      <w:r>
        <w:rPr>
          <w:color w:val="2B3D35"/>
          <w:sz w:val="18"/>
        </w:rPr>
        <w:t>TotalCharges/tenure is strongly collinear with tenure and monthly charges; it produced unstable coefficients and counter-intuitive SHAP values for less than 0.001 ROC-AUC.</w:t>
      </w:r>
    </w:p>
    <w:p>
      <w:pPr>
        <w:spacing w:before="120" w:after="40"/>
      </w:pPr>
      <w:r>
        <w:rPr>
          <w:b/>
          <w:color w:val="0B1F1A"/>
          <w:sz w:val="20"/>
        </w:rPr>
        <w:t>Q12. What is a train/test split?</w:t>
      </w:r>
    </w:p>
    <w:p>
      <w:pPr>
        <w:spacing w:after="100"/>
        <w:ind w:left="255"/>
      </w:pPr>
      <w:r>
        <w:rPr>
          <w:color w:val="2B3D35"/>
          <w:sz w:val="18"/>
        </w:rPr>
        <w:t>A hold-out partition used to estimate generalisation. Here it is stratified 80/20 with random_state 42.</w:t>
      </w:r>
    </w:p>
    <w:p>
      <w:pPr>
        <w:spacing w:before="120" w:after="40"/>
      </w:pPr>
      <w:r>
        <w:rPr>
          <w:b/>
          <w:color w:val="0B1F1A"/>
          <w:sz w:val="20"/>
        </w:rPr>
        <w:t>Q13. Why stratify the split?</w:t>
      </w:r>
    </w:p>
    <w:p>
      <w:pPr>
        <w:spacing w:after="100"/>
        <w:ind w:left="255"/>
      </w:pPr>
      <w:r>
        <w:rPr>
          <w:color w:val="2B3D35"/>
          <w:sz w:val="18"/>
        </w:rPr>
        <w:t>To preserve the churn rate in both partitions, which stabilises evaluation on an imbalanced dataset.</w:t>
      </w:r>
    </w:p>
    <w:p>
      <w:pPr>
        <w:spacing w:before="120" w:after="40"/>
      </w:pPr>
      <w:r>
        <w:rPr>
          <w:b/>
          <w:color w:val="0B1F1A"/>
          <w:sz w:val="20"/>
        </w:rPr>
        <w:t>Q14. What is data leakage?</w:t>
      </w:r>
    </w:p>
    <w:p>
      <w:pPr>
        <w:spacing w:after="100"/>
        <w:ind w:left="255"/>
      </w:pPr>
      <w:r>
        <w:rPr>
          <w:color w:val="2B3D35"/>
          <w:sz w:val="18"/>
        </w:rPr>
        <w:t>Information from outside the training fold (or from the future) influencing training. It produces optimistic scores that collapse in production.</w:t>
      </w:r>
    </w:p>
    <w:p>
      <w:pPr>
        <w:spacing w:before="120" w:after="40"/>
      </w:pPr>
      <w:r>
        <w:rPr>
          <w:b/>
          <w:color w:val="0B1F1A"/>
          <w:sz w:val="20"/>
        </w:rPr>
        <w:t>Q15. How is leakage prevented?</w:t>
      </w:r>
    </w:p>
    <w:p>
      <w:pPr>
        <w:spacing w:after="100"/>
        <w:ind w:left="255"/>
      </w:pPr>
      <w:r>
        <w:rPr>
          <w:color w:val="2B3D35"/>
          <w:sz w:val="18"/>
        </w:rPr>
        <w:t>All preprocessing lives inside a Pipeline that is cloned and fitted within each CV fold; the test set is touched once.</w:t>
      </w:r>
    </w:p>
    <w:p>
      <w:pPr>
        <w:spacing w:before="120" w:after="40"/>
      </w:pPr>
      <w:r>
        <w:rPr>
          <w:b/>
          <w:color w:val="0B1F1A"/>
          <w:sz w:val="20"/>
        </w:rPr>
        <w:t>Q16. Why use a Pipeline?</w:t>
      </w:r>
    </w:p>
    <w:p>
      <w:pPr>
        <w:spacing w:after="100"/>
        <w:ind w:left="255"/>
      </w:pPr>
      <w:r>
        <w:rPr>
          <w:color w:val="2B3D35"/>
          <w:sz w:val="18"/>
        </w:rPr>
        <w:t>It bundles imputation, scaling, encoding and the classifier into one reproducible object and makes serving identical to training.</w:t>
      </w:r>
    </w:p>
    <w:p>
      <w:pPr>
        <w:spacing w:before="120" w:after="40"/>
      </w:pPr>
      <w:r>
        <w:rPr>
          <w:b/>
          <w:color w:val="0B1F1A"/>
          <w:sz w:val="20"/>
        </w:rPr>
        <w:t>Q17. Why one-hot encode categoricals?</w:t>
      </w:r>
    </w:p>
    <w:p>
      <w:pPr>
        <w:spacing w:after="100"/>
        <w:ind w:left="255"/>
      </w:pPr>
      <w:r>
        <w:rPr>
          <w:color w:val="2B3D35"/>
          <w:sz w:val="18"/>
        </w:rPr>
        <w:t>Models need numeric input; one-hot avoids implying an order between categories such as contract types.</w:t>
      </w:r>
    </w:p>
    <w:p>
      <w:pPr>
        <w:spacing w:before="120" w:after="40"/>
      </w:pPr>
      <w:r>
        <w:rPr>
          <w:b/>
          <w:color w:val="0B1F1A"/>
          <w:sz w:val="20"/>
        </w:rPr>
        <w:t>Q18. What happens to an unseen category at serving time?</w:t>
      </w:r>
    </w:p>
    <w:p>
      <w:pPr>
        <w:spacing w:after="100"/>
        <w:ind w:left="255"/>
      </w:pPr>
      <w:r>
        <w:rPr>
          <w:color w:val="2B3D35"/>
          <w:sz w:val="18"/>
        </w:rPr>
        <w:t>OneHotEncoder(handle_unknown='ignore') emits all zeros for that feature instead of raising an error.</w:t>
      </w:r>
    </w:p>
    <w:p>
      <w:pPr>
        <w:spacing w:before="120" w:after="40"/>
      </w:pPr>
      <w:r>
        <w:rPr>
          <w:b/>
          <w:color w:val="0B1F1A"/>
          <w:sz w:val="20"/>
        </w:rPr>
        <w:t>Q19. Why scale features?</w:t>
      </w:r>
    </w:p>
    <w:p>
      <w:pPr>
        <w:spacing w:after="100"/>
        <w:ind w:left="255"/>
      </w:pPr>
      <w:r>
        <w:rPr>
          <w:color w:val="2B3D35"/>
          <w:sz w:val="18"/>
        </w:rPr>
        <w:t>KNN and SVM are distance/gradient sensitive. Scaling is harmless for trees and keeps a common preprocessing path.</w:t>
      </w:r>
    </w:p>
    <w:p>
      <w:pPr>
        <w:spacing w:before="120" w:after="40"/>
      </w:pPr>
      <w:r>
        <w:rPr>
          <w:b/>
          <w:color w:val="0B1F1A"/>
          <w:sz w:val="20"/>
        </w:rPr>
        <w:t>Q20. What is 5-fold cross-validation?</w:t>
      </w:r>
    </w:p>
    <w:p>
      <w:pPr>
        <w:spacing w:after="100"/>
        <w:ind w:left="255"/>
      </w:pPr>
      <w:r>
        <w:rPr>
          <w:color w:val="2B3D35"/>
          <w:sz w:val="18"/>
        </w:rPr>
        <w:t>The training set is split into five folds; each fold is held out once while the model trains on the other four. The five scores are averaged.</w:t>
      </w:r>
    </w:p>
    <w:p>
      <w:pPr>
        <w:spacing w:before="120" w:after="40"/>
      </w:pPr>
      <w:r>
        <w:rPr>
          <w:b/>
          <w:color w:val="0B1F1A"/>
          <w:sz w:val="20"/>
        </w:rPr>
        <w:t>Q21. Why was ROC-AUC the selection metric?</w:t>
      </w:r>
    </w:p>
    <w:p>
      <w:pPr>
        <w:spacing w:after="100"/>
        <w:ind w:left="255"/>
      </w:pPr>
      <w:r>
        <w:rPr>
          <w:color w:val="2B3D35"/>
          <w:sz w:val="18"/>
        </w:rPr>
        <w:t>It measures ranking quality across all thresholds and is insensitive to the class prior; the project specification selected on CV ROC-AUC.</w:t>
      </w:r>
    </w:p>
    <w:p>
      <w:pPr>
        <w:spacing w:before="120" w:after="40"/>
      </w:pPr>
      <w:r>
        <w:rPr>
          <w:b/>
          <w:color w:val="0B1F1A"/>
          <w:sz w:val="20"/>
        </w:rPr>
        <w:t>Q22. Why not select on test performance?</w:t>
      </w:r>
    </w:p>
    <w:p>
      <w:pPr>
        <w:spacing w:after="100"/>
        <w:ind w:left="255"/>
      </w:pPr>
      <w:r>
        <w:rPr>
          <w:color w:val="2B3D35"/>
          <w:sz w:val="18"/>
        </w:rPr>
        <w:t>That would leak the test set into model choice and give an optimistic final estimate.</w:t>
      </w:r>
    </w:p>
    <w:p>
      <w:pPr>
        <w:spacing w:before="120" w:after="40"/>
      </w:pPr>
      <w:r>
        <w:rPr>
          <w:b/>
          <w:color w:val="0B1F1A"/>
          <w:sz w:val="20"/>
        </w:rPr>
        <w:t>Q23. Why is Logistic Regression the final model?</w:t>
      </w:r>
    </w:p>
    <w:p>
      <w:pPr>
        <w:spacing w:after="100"/>
        <w:ind w:left="255"/>
      </w:pPr>
      <w:r>
        <w:rPr>
          <w:color w:val="2B3D35"/>
          <w:sz w:val="18"/>
        </w:rPr>
        <w:t>It has the highest mean CV ROC-AUC (0.8475); XGBoost was close but adds complexity without enough gain.</w:t>
      </w:r>
    </w:p>
    <w:p>
      <w:pPr>
        <w:spacing w:before="120" w:after="40"/>
      </w:pPr>
      <w:r>
        <w:rPr>
          <w:b/>
          <w:color w:val="0B1F1A"/>
          <w:sz w:val="20"/>
        </w:rPr>
        <w:t>Q24. What is the logistic regression equation?</w:t>
      </w:r>
    </w:p>
    <w:p>
      <w:pPr>
        <w:spacing w:after="100"/>
        <w:ind w:left="255"/>
      </w:pPr>
      <w:r>
        <w:rPr>
          <w:color w:val="2B3D35"/>
          <w:sz w:val="18"/>
        </w:rPr>
        <w:t>P(churn) = 1 / (1 + exp(-(β0 + β1x1 + … + βnxn))). Coefficients are log-odds changes.</w:t>
      </w:r>
    </w:p>
    <w:p>
      <w:pPr>
        <w:spacing w:before="120" w:after="40"/>
      </w:pPr>
      <w:r>
        <w:rPr>
          <w:b/>
          <w:color w:val="0B1F1A"/>
          <w:sz w:val="20"/>
        </w:rPr>
        <w:t>Q25. How does a Decision Tree differ?</w:t>
      </w:r>
    </w:p>
    <w:p>
      <w:pPr>
        <w:spacing w:after="100"/>
        <w:ind w:left="255"/>
      </w:pPr>
      <w:r>
        <w:rPr>
          <w:color w:val="2B3D35"/>
          <w:sz w:val="18"/>
        </w:rPr>
        <w:t>It recursively splits the feature space into leaves; interpretable but high variance, controlled here with depth and leaf-size limits.</w:t>
      </w:r>
    </w:p>
    <w:p>
      <w:pPr>
        <w:spacing w:before="120" w:after="40"/>
      </w:pPr>
      <w:r>
        <w:rPr>
          <w:b/>
          <w:color w:val="0B1F1A"/>
          <w:sz w:val="20"/>
        </w:rPr>
        <w:t>Q26. Random Forest vs XGBoost?</w:t>
      </w:r>
    </w:p>
    <w:p>
      <w:pPr>
        <w:spacing w:after="100"/>
        <w:ind w:left="255"/>
      </w:pPr>
      <w:r>
        <w:rPr>
          <w:color w:val="2B3D35"/>
          <w:sz w:val="18"/>
        </w:rPr>
        <w:t>Random Forest averages many deep, independent trees (bagging). XGBoost builds trees sequentially, each correcting the previous residual (boosting).</w:t>
      </w:r>
    </w:p>
    <w:p>
      <w:pPr>
        <w:spacing w:before="120" w:after="40"/>
      </w:pPr>
      <w:r>
        <w:rPr>
          <w:b/>
          <w:color w:val="0B1F1A"/>
          <w:sz w:val="20"/>
        </w:rPr>
        <w:t>Q27. Why were KNN and SVM weaker?</w:t>
      </w:r>
    </w:p>
    <w:p>
      <w:pPr>
        <w:spacing w:after="100"/>
        <w:ind w:left="255"/>
      </w:pPr>
      <w:r>
        <w:rPr>
          <w:color w:val="2B3D35"/>
          <w:sz w:val="18"/>
        </w:rPr>
        <w:t>KNN suffers from high-dimensional one-hot distance concentration; the RBF SVM is competitive but slightly behind and harder to explain.</w:t>
      </w:r>
    </w:p>
    <w:p>
      <w:pPr>
        <w:spacing w:before="120" w:after="40"/>
      </w:pPr>
      <w:r>
        <w:rPr>
          <w:b/>
          <w:color w:val="0B1F1A"/>
          <w:sz w:val="20"/>
        </w:rPr>
        <w:t>Q28. What does ROC-AUC mean intuitively?</w:t>
      </w:r>
    </w:p>
    <w:p>
      <w:pPr>
        <w:spacing w:after="100"/>
        <w:ind w:left="255"/>
      </w:pPr>
      <w:r>
        <w:rPr>
          <w:color w:val="2B3D35"/>
          <w:sz w:val="18"/>
        </w:rPr>
        <w:t>The probability that a randomly chosen churner receives a higher risk score than a randomly chosen stayer.</w:t>
      </w:r>
    </w:p>
    <w:p>
      <w:pPr>
        <w:spacing w:before="120" w:after="40"/>
      </w:pPr>
      <w:r>
        <w:rPr>
          <w:b/>
          <w:color w:val="0B1F1A"/>
          <w:sz w:val="20"/>
        </w:rPr>
        <w:t>Q29. What is PR-AUC and when is it better?</w:t>
      </w:r>
    </w:p>
    <w:p>
      <w:pPr>
        <w:spacing w:after="100"/>
        <w:ind w:left="255"/>
      </w:pPr>
      <w:r>
        <w:rPr>
          <w:color w:val="2B3D35"/>
          <w:sz w:val="18"/>
        </w:rPr>
        <w:t>Area under the precision–recall curve. It focuses on the minority positive class and is more informative under strong imbalance.</w:t>
      </w:r>
    </w:p>
    <w:p>
      <w:pPr>
        <w:spacing w:before="120" w:after="40"/>
      </w:pPr>
      <w:r>
        <w:rPr>
          <w:b/>
          <w:color w:val="0B1F1A"/>
          <w:sz w:val="20"/>
        </w:rPr>
        <w:t>Q30. Precision vs recall in this business?</w:t>
      </w:r>
    </w:p>
    <w:p>
      <w:pPr>
        <w:spacing w:after="100"/>
        <w:ind w:left="255"/>
      </w:pPr>
      <w:r>
        <w:rPr>
          <w:color w:val="2B3D35"/>
          <w:sz w:val="18"/>
        </w:rPr>
        <w:t>Recall is the share of churners caught; precision is the share of predicted churners who really churn. Missed churners are usually more expensive than wasted offers.</w:t>
      </w:r>
    </w:p>
    <w:p>
      <w:pPr>
        <w:spacing w:before="120" w:after="40"/>
      </w:pPr>
      <w:r>
        <w:rPr>
          <w:b/>
          <w:color w:val="0B1F1A"/>
          <w:sz w:val="20"/>
        </w:rPr>
        <w:t>Q31. Why is the threshold 0.32?</w:t>
      </w:r>
    </w:p>
    <w:p>
      <w:pPr>
        <w:spacing w:after="100"/>
        <w:ind w:left="255"/>
      </w:pPr>
      <w:r>
        <w:rPr>
          <w:color w:val="2B3D35"/>
          <w:sz w:val="18"/>
        </w:rPr>
        <w:t>It maximises F1 on out-of-fold training predictions, raising recall to about 74% at the cost of some precision.</w:t>
      </w:r>
    </w:p>
    <w:p>
      <w:pPr>
        <w:spacing w:before="120" w:after="40"/>
      </w:pPr>
      <w:r>
        <w:rPr>
          <w:b/>
          <w:color w:val="0B1F1A"/>
          <w:sz w:val="20"/>
        </w:rPr>
        <w:t>Q32. What does the confusion matrix show?</w:t>
      </w:r>
    </w:p>
    <w:p>
      <w:pPr>
        <w:spacing w:after="100"/>
        <w:ind w:left="255"/>
      </w:pPr>
      <w:r>
        <w:rPr>
          <w:color w:val="2B3D35"/>
          <w:sz w:val="18"/>
        </w:rPr>
        <w:t>At the tuned threshold: 277 true churners caught, 97 missed, 235 false alarms and 800 correct stays.</w:t>
      </w:r>
    </w:p>
    <w:p>
      <w:pPr>
        <w:spacing w:before="120" w:after="40"/>
      </w:pPr>
      <w:r>
        <w:rPr>
          <w:b/>
          <w:color w:val="0B1F1A"/>
          <w:sz w:val="20"/>
        </w:rPr>
        <w:t>Q33. What is the Brier score?</w:t>
      </w:r>
    </w:p>
    <w:p>
      <w:pPr>
        <w:spacing w:after="100"/>
        <w:ind w:left="255"/>
      </w:pPr>
      <w:r>
        <w:rPr>
          <w:color w:val="2B3D35"/>
          <w:sz w:val="18"/>
        </w:rPr>
        <w:t>Mean squared difference between predicted probabilities and 0/1 outcomes; lower is better and it rewards calibration.</w:t>
      </w:r>
    </w:p>
    <w:p>
      <w:pPr>
        <w:spacing w:before="120" w:after="40"/>
      </w:pPr>
      <w:r>
        <w:rPr>
          <w:b/>
          <w:color w:val="0B1F1A"/>
          <w:sz w:val="20"/>
        </w:rPr>
        <w:t>Q34. What is SHAP?</w:t>
      </w:r>
    </w:p>
    <w:p>
      <w:pPr>
        <w:spacing w:after="100"/>
        <w:ind w:left="255"/>
      </w:pPr>
      <w:r>
        <w:rPr>
          <w:color w:val="2B3D35"/>
          <w:sz w:val="18"/>
        </w:rPr>
        <w:t>SHAP assigns each feature a contribution to a prediction using Shapley values from cooperative game theory. Contributions are additive.</w:t>
      </w:r>
    </w:p>
    <w:p>
      <w:pPr>
        <w:spacing w:before="120" w:after="40"/>
      </w:pPr>
      <w:r>
        <w:rPr>
          <w:b/>
          <w:color w:val="0B1F1A"/>
          <w:sz w:val="20"/>
        </w:rPr>
        <w:t>Q35. LinearSHAP vs TreeSHAP vs permutation SHAP?</w:t>
      </w:r>
    </w:p>
    <w:p>
      <w:pPr>
        <w:spacing w:after="100"/>
        <w:ind w:left="255"/>
      </w:pPr>
      <w:r>
        <w:rPr>
          <w:color w:val="2B3D35"/>
          <w:sz w:val="18"/>
        </w:rPr>
        <w:t>LinearSHAP is exact for linear models, TreeSHAP is exact for tree ensembles, and permutation SHAP is model-agnostic but approximate.</w:t>
      </w:r>
    </w:p>
    <w:p>
      <w:pPr>
        <w:spacing w:before="120" w:after="40"/>
      </w:pPr>
      <w:r>
        <w:rPr>
          <w:b/>
          <w:color w:val="0B1F1A"/>
          <w:sz w:val="20"/>
        </w:rPr>
        <w:t>Q36. Global vs local explanation?</w:t>
      </w:r>
    </w:p>
    <w:p>
      <w:pPr>
        <w:spacing w:after="100"/>
        <w:ind w:left="255"/>
      </w:pPr>
      <w:r>
        <w:rPr>
          <w:color w:val="2B3D35"/>
          <w:sz w:val="18"/>
        </w:rPr>
        <w:t>Global importance averages |SHAP| across customers; local explanation shows the signed drivers for one customer.</w:t>
      </w:r>
    </w:p>
    <w:p>
      <w:pPr>
        <w:spacing w:before="120" w:after="40"/>
      </w:pPr>
      <w:r>
        <w:rPr>
          <w:b/>
          <w:color w:val="0B1F1A"/>
          <w:sz w:val="20"/>
        </w:rPr>
        <w:t>Q37. Why can monthly charges have a negative SHAP value?</w:t>
      </w:r>
    </w:p>
    <w:p>
      <w:pPr>
        <w:spacing w:after="100"/>
        <w:ind w:left="255"/>
      </w:pPr>
      <w:r>
        <w:rPr>
          <w:color w:val="2B3D35"/>
          <w:sz w:val="18"/>
        </w:rPr>
        <w:t>SHAP is conditional. For a new fiber customer with streaming add-ons, the rest of the profile already explains the risk; the incremental price contribution can be protective. This is not a marginal causal effect.</w:t>
      </w:r>
    </w:p>
    <w:p>
      <w:pPr>
        <w:spacing w:before="120" w:after="40"/>
      </w:pPr>
      <w:r>
        <w:rPr>
          <w:b/>
          <w:color w:val="0B1F1A"/>
          <w:sz w:val="20"/>
        </w:rPr>
        <w:t>Q38. How are risk bands defined?</w:t>
      </w:r>
    </w:p>
    <w:p>
      <w:pPr>
        <w:spacing w:after="100"/>
        <w:ind w:left="255"/>
      </w:pPr>
      <w:r>
        <w:rPr>
          <w:color w:val="2B3D35"/>
          <w:sz w:val="18"/>
        </w:rPr>
        <w:t>Low &lt; 0.32, medium 0.32–0.60, high ≥ 0.60. The low/medium cut-off is the deployed threshold, so bands and predictions cannot contradict.</w:t>
      </w:r>
    </w:p>
    <w:p>
      <w:pPr>
        <w:spacing w:before="120" w:after="40"/>
      </w:pPr>
      <w:r>
        <w:rPr>
          <w:b/>
          <w:color w:val="0B1F1A"/>
          <w:sz w:val="20"/>
        </w:rPr>
        <w:t>Q39. How are recommendations generated?</w:t>
      </w:r>
    </w:p>
    <w:p>
      <w:pPr>
        <w:spacing w:after="100"/>
        <w:ind w:left="255"/>
      </w:pPr>
      <w:r>
        <w:rPr>
          <w:color w:val="2B3D35"/>
          <w:sz w:val="18"/>
        </w:rPr>
        <w:t>A 14-rule engine combines the risk band, service/contract attributes and SHAP driver alignment, then ranks actions with a priority score.</w:t>
      </w:r>
    </w:p>
    <w:p>
      <w:pPr>
        <w:spacing w:before="120" w:after="40"/>
      </w:pPr>
      <w:r>
        <w:rPr>
          <w:b/>
          <w:color w:val="0B1F1A"/>
          <w:sz w:val="20"/>
        </w:rPr>
        <w:t>Q40. How does the system persist data?</w:t>
      </w:r>
    </w:p>
    <w:p>
      <w:pPr>
        <w:spacing w:after="100"/>
        <w:ind w:left="255"/>
      </w:pPr>
      <w:r>
        <w:rPr>
          <w:color w:val="2B3D35"/>
          <w:sz w:val="18"/>
        </w:rPr>
        <w:t>SQLite stores the prediction audit trail, outcome feedback and saved retention actions in data/processed/churn.db. No server or sign-in is needed for the local demo.</w:t>
      </w:r>
    </w:p>
    <w:p>
      <w:pPr>
        <w:pStyle w:val="Heading2"/>
        <w:keepNext/>
        <w:spacing w:before="180" w:after="100"/>
      </w:pPr>
      <w:r>
        <w:t>15.1 Five-minute demo script</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3213"/>
        <w:gridCol w:w="3213"/>
        <w:gridCol w:w="3213"/>
      </w:tblGrid>
      <w:tr>
        <w:trPr>
          <w:tblHeader w:val="true"/>
        </w:trPr>
        <w:tc>
          <w:tcPr>
            <w:tcW w:type="dxa" w:w="1584"/>
            <w:shd w:val="clear" w:color="auto" w:fill="0B3B2E"/>
            <w:tcMar>
              <w:top w:w="70" w:type="dxa"/>
              <w:bottom w:w="70" w:type="dxa"/>
              <w:start w:w="90" w:type="dxa"/>
              <w:end w:w="90" w:type="dxa"/>
            </w:tcMar>
          </w:tcPr>
          <w:p>
            <w:pPr>
              <w:spacing w:after="0"/>
            </w:pPr>
            <w:r>
              <w:rPr>
                <w:rFonts w:ascii="Calibri" w:hAnsi="Calibri"/>
                <w:b/>
                <w:color w:val="FFFFFF"/>
                <w:sz w:val="16"/>
              </w:rPr>
              <w:t>Time</w:t>
            </w:r>
          </w:p>
        </w:tc>
        <w:tc>
          <w:tcPr>
            <w:tcW w:type="dxa" w:w="2448"/>
            <w:shd w:val="clear" w:color="auto" w:fill="0B3B2E"/>
            <w:tcMar>
              <w:top w:w="70" w:type="dxa"/>
              <w:bottom w:w="70" w:type="dxa"/>
              <w:start w:w="90" w:type="dxa"/>
              <w:end w:w="90" w:type="dxa"/>
            </w:tcMar>
          </w:tcPr>
          <w:p>
            <w:pPr>
              <w:spacing w:after="0"/>
            </w:pPr>
            <w:r>
              <w:rPr>
                <w:rFonts w:ascii="Calibri" w:hAnsi="Calibri"/>
                <w:b/>
                <w:color w:val="FFFFFF"/>
                <w:sz w:val="16"/>
              </w:rPr>
              <w:t>What to show</w:t>
            </w:r>
          </w:p>
        </w:tc>
        <w:tc>
          <w:tcPr>
            <w:tcW w:type="dxa" w:w="5760"/>
            <w:shd w:val="clear" w:color="auto" w:fill="0B3B2E"/>
            <w:tcMar>
              <w:top w:w="70" w:type="dxa"/>
              <w:bottom w:w="70" w:type="dxa"/>
              <w:start w:w="90" w:type="dxa"/>
              <w:end w:w="90" w:type="dxa"/>
            </w:tcMar>
          </w:tcPr>
          <w:p>
            <w:pPr>
              <w:spacing w:after="0"/>
            </w:pPr>
            <w:r>
              <w:rPr>
                <w:rFonts w:ascii="Calibri" w:hAnsi="Calibri"/>
                <w:b/>
                <w:color w:val="FFFFFF"/>
                <w:sz w:val="16"/>
              </w:rPr>
              <w:t>What to say</w:t>
            </w:r>
          </w:p>
        </w:tc>
      </w:tr>
      <w:tr>
        <w:tc>
          <w:tcPr>
            <w:tcW w:type="dxa" w:w="1584"/>
            <w:tcMar>
              <w:top w:w="70" w:type="dxa"/>
              <w:bottom w:w="70" w:type="dxa"/>
              <w:start w:w="90" w:type="dxa"/>
              <w:end w:w="90" w:type="dxa"/>
            </w:tcMar>
          </w:tcPr>
          <w:p>
            <w:pPr>
              <w:spacing w:after="0" w:line="252" w:lineRule="auto"/>
            </w:pPr>
            <w:r>
              <w:rPr>
                <w:rFonts w:ascii="Calibri" w:hAnsi="Calibri"/>
                <w:color w:val="0B1F1A"/>
                <w:sz w:val="16"/>
              </w:rPr>
              <w:t>0:00–0:40</w:t>
            </w:r>
          </w:p>
        </w:tc>
        <w:tc>
          <w:tcPr>
            <w:tcW w:type="dxa" w:w="2448"/>
            <w:tcMar>
              <w:top w:w="70" w:type="dxa"/>
              <w:bottom w:w="70" w:type="dxa"/>
              <w:start w:w="90" w:type="dxa"/>
              <w:end w:w="90" w:type="dxa"/>
            </w:tcMar>
          </w:tcPr>
          <w:p>
            <w:pPr>
              <w:spacing w:after="0" w:line="252" w:lineRule="auto"/>
            </w:pPr>
            <w:r>
              <w:rPr>
                <w:rFonts w:ascii="Calibri" w:hAnsi="Calibri"/>
                <w:color w:val="0B1F1A"/>
                <w:sz w:val="16"/>
              </w:rPr>
              <w:t>Overview</w:t>
            </w:r>
          </w:p>
        </w:tc>
        <w:tc>
          <w:tcPr>
            <w:tcW w:type="dxa" w:w="5760"/>
            <w:tcMar>
              <w:top w:w="70" w:type="dxa"/>
              <w:bottom w:w="70" w:type="dxa"/>
              <w:start w:w="90" w:type="dxa"/>
              <w:end w:w="90" w:type="dxa"/>
            </w:tcMar>
          </w:tcPr>
          <w:p>
            <w:pPr>
              <w:spacing w:after="0" w:line="252" w:lineRule="auto"/>
            </w:pPr>
            <w:r>
              <w:rPr>
                <w:rFonts w:ascii="Calibri" w:hAnsi="Calibri"/>
                <w:color w:val="0B1F1A"/>
                <w:sz w:val="16"/>
              </w:rPr>
              <w:t>This is the retention command center: 7,043 customers, 26.5% historical churn and 1,002 high-risk customers.</w:t>
            </w:r>
          </w:p>
        </w:tc>
      </w:tr>
      <w:tr>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0:40–1:30</w:t>
            </w:r>
          </w:p>
        </w:tc>
        <w:tc>
          <w:tcPr>
            <w:tcW w:type="dxa" w:w="2448"/>
            <w:tcMar>
              <w:top w:w="70" w:type="dxa"/>
              <w:bottom w:w="70" w:type="dxa"/>
              <w:start w:w="90" w:type="dxa"/>
              <w:end w:w="90" w:type="dxa"/>
            </w:tcMar>
            <w:shd w:val="clear" w:color="auto" w:fill="F5FAF8"/>
          </w:tcPr>
          <w:p>
            <w:pPr>
              <w:spacing w:after="0" w:line="252" w:lineRule="auto"/>
            </w:pPr>
            <w:r>
              <w:rPr>
                <w:rFonts w:ascii="Calibri" w:hAnsi="Calibri"/>
                <w:color w:val="0B1F1A"/>
                <w:sz w:val="16"/>
              </w:rPr>
              <w:t>Customers → drawer</w:t>
            </w:r>
          </w:p>
        </w:tc>
        <w:tc>
          <w:tcPr>
            <w:tcW w:type="dxa" w:w="5760"/>
            <w:tcMar>
              <w:top w:w="70" w:type="dxa"/>
              <w:bottom w:w="70" w:type="dxa"/>
              <w:start w:w="90" w:type="dxa"/>
              <w:end w:w="90" w:type="dxa"/>
            </w:tcMar>
            <w:shd w:val="clear" w:color="auto" w:fill="F5FAF8"/>
          </w:tcPr>
          <w:p>
            <w:pPr>
              <w:spacing w:after="0" w:line="252" w:lineRule="auto"/>
            </w:pPr>
            <w:r>
              <w:rPr>
                <w:rFonts w:ascii="Calibri" w:hAnsi="Calibri"/>
                <w:color w:val="0B1F1A"/>
                <w:sz w:val="16"/>
              </w:rPr>
              <w:t>Open a high-risk customer; point to the probability, tenure driver, revenue at risk and the playbook.</w:t>
            </w:r>
          </w:p>
        </w:tc>
      </w:tr>
      <w:tr>
        <w:tc>
          <w:tcPr>
            <w:tcW w:type="dxa" w:w="1584"/>
            <w:tcMar>
              <w:top w:w="70" w:type="dxa"/>
              <w:bottom w:w="70" w:type="dxa"/>
              <w:start w:w="90" w:type="dxa"/>
              <w:end w:w="90" w:type="dxa"/>
            </w:tcMar>
          </w:tcPr>
          <w:p>
            <w:pPr>
              <w:spacing w:after="0" w:line="252" w:lineRule="auto"/>
            </w:pPr>
            <w:r>
              <w:rPr>
                <w:rFonts w:ascii="Calibri" w:hAnsi="Calibri"/>
                <w:color w:val="0B1F1A"/>
                <w:sz w:val="16"/>
              </w:rPr>
              <w:t>1:30–2:10</w:t>
            </w:r>
          </w:p>
        </w:tc>
        <w:tc>
          <w:tcPr>
            <w:tcW w:type="dxa" w:w="2448"/>
            <w:tcMar>
              <w:top w:w="70" w:type="dxa"/>
              <w:bottom w:w="70" w:type="dxa"/>
              <w:start w:w="90" w:type="dxa"/>
              <w:end w:w="90" w:type="dxa"/>
            </w:tcMar>
          </w:tcPr>
          <w:p>
            <w:pPr>
              <w:spacing w:after="0" w:line="252" w:lineRule="auto"/>
            </w:pPr>
            <w:r>
              <w:rPr>
                <w:rFonts w:ascii="Calibri" w:hAnsi="Calibri"/>
                <w:color w:val="0B1F1A"/>
                <w:sz w:val="16"/>
              </w:rPr>
              <w:t>Save action → queue</w:t>
            </w:r>
          </w:p>
        </w:tc>
        <w:tc>
          <w:tcPr>
            <w:tcW w:type="dxa" w:w="5760"/>
            <w:tcMar>
              <w:top w:w="70" w:type="dxa"/>
              <w:bottom w:w="70" w:type="dxa"/>
              <w:start w:w="90" w:type="dxa"/>
              <w:end w:w="90" w:type="dxa"/>
            </w:tcMar>
          </w:tcPr>
          <w:p>
            <w:pPr>
              <w:spacing w:after="0" w:line="252" w:lineRule="auto"/>
            </w:pPr>
            <w:r>
              <w:rPr>
                <w:rFonts w:ascii="Calibri" w:hAnsi="Calibri"/>
                <w:color w:val="0B1F1A"/>
                <w:sz w:val="16"/>
              </w:rPr>
              <w:t>Save a recommendation; show it persisted in SQLite and update the workflow status.</w:t>
            </w:r>
          </w:p>
        </w:tc>
      </w:tr>
      <w:tr>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2:10–3:00</w:t>
            </w:r>
          </w:p>
        </w:tc>
        <w:tc>
          <w:tcPr>
            <w:tcW w:type="dxa" w:w="2448"/>
            <w:tcMar>
              <w:top w:w="70" w:type="dxa"/>
              <w:bottom w:w="70" w:type="dxa"/>
              <w:start w:w="90" w:type="dxa"/>
              <w:end w:w="90" w:type="dxa"/>
            </w:tcMar>
            <w:shd w:val="clear" w:color="auto" w:fill="F5FAF8"/>
          </w:tcPr>
          <w:p>
            <w:pPr>
              <w:spacing w:after="0" w:line="252" w:lineRule="auto"/>
            </w:pPr>
            <w:r>
              <w:rPr>
                <w:rFonts w:ascii="Calibri" w:hAnsi="Calibri"/>
                <w:color w:val="0B1F1A"/>
                <w:sz w:val="16"/>
              </w:rPr>
              <w:t>Score customer</w:t>
            </w:r>
          </w:p>
        </w:tc>
        <w:tc>
          <w:tcPr>
            <w:tcW w:type="dxa" w:w="5760"/>
            <w:tcMar>
              <w:top w:w="70" w:type="dxa"/>
              <w:bottom w:w="70" w:type="dxa"/>
              <w:start w:w="90" w:type="dxa"/>
              <w:end w:w="90" w:type="dxa"/>
            </w:tcMar>
            <w:shd w:val="clear" w:color="auto" w:fill="F5FAF8"/>
          </w:tcPr>
          <w:p>
            <w:pPr>
              <w:spacing w:after="0" w:line="252" w:lineRule="auto"/>
            </w:pPr>
            <w:r>
              <w:rPr>
                <w:rFonts w:ascii="Calibri" w:hAnsi="Calibri"/>
                <w:color w:val="0B1F1A"/>
                <w:sz w:val="16"/>
              </w:rPr>
              <w:t>Score the high-risk demo; explain the gauge, SHAP signs and the candidate offers.</w:t>
            </w:r>
          </w:p>
        </w:tc>
      </w:tr>
      <w:tr>
        <w:tc>
          <w:tcPr>
            <w:tcW w:type="dxa" w:w="1584"/>
            <w:tcMar>
              <w:top w:w="70" w:type="dxa"/>
              <w:bottom w:w="70" w:type="dxa"/>
              <w:start w:w="90" w:type="dxa"/>
              <w:end w:w="90" w:type="dxa"/>
            </w:tcMar>
          </w:tcPr>
          <w:p>
            <w:pPr>
              <w:spacing w:after="0" w:line="252" w:lineRule="auto"/>
            </w:pPr>
            <w:r>
              <w:rPr>
                <w:rFonts w:ascii="Calibri" w:hAnsi="Calibri"/>
                <w:color w:val="0B1F1A"/>
                <w:sz w:val="16"/>
              </w:rPr>
              <w:t>3:00–4:00</w:t>
            </w:r>
          </w:p>
        </w:tc>
        <w:tc>
          <w:tcPr>
            <w:tcW w:type="dxa" w:w="2448"/>
            <w:tcMar>
              <w:top w:w="70" w:type="dxa"/>
              <w:bottom w:w="70" w:type="dxa"/>
              <w:start w:w="90" w:type="dxa"/>
              <w:end w:w="90" w:type="dxa"/>
            </w:tcMar>
          </w:tcPr>
          <w:p>
            <w:pPr>
              <w:spacing w:after="0" w:line="252" w:lineRule="auto"/>
            </w:pPr>
            <w:r>
              <w:rPr>
                <w:rFonts w:ascii="Calibri" w:hAnsi="Calibri"/>
                <w:color w:val="0B1F1A"/>
                <w:sz w:val="16"/>
              </w:rPr>
              <w:t>Model insights</w:t>
            </w:r>
          </w:p>
        </w:tc>
        <w:tc>
          <w:tcPr>
            <w:tcW w:type="dxa" w:w="5760"/>
            <w:tcMar>
              <w:top w:w="70" w:type="dxa"/>
              <w:bottom w:w="70" w:type="dxa"/>
              <w:start w:w="90" w:type="dxa"/>
              <w:end w:w="90" w:type="dxa"/>
            </w:tcMar>
          </w:tcPr>
          <w:p>
            <w:pPr>
              <w:spacing w:after="0" w:line="252" w:lineRule="auto"/>
            </w:pPr>
            <w:r>
              <w:rPr>
                <w:rFonts w:ascii="Calibri" w:hAnsi="Calibri"/>
                <w:color w:val="0B1F1A"/>
                <w:sz w:val="16"/>
              </w:rPr>
              <w:t>Show the six-model table, ROC curve, model selection and SHAP drivers.</w:t>
            </w:r>
          </w:p>
        </w:tc>
      </w:tr>
      <w:tr>
        <w:tc>
          <w:tcPr>
            <w:tcW w:type="dxa" w:w="1584"/>
            <w:tcMar>
              <w:top w:w="70" w:type="dxa"/>
              <w:bottom w:w="70" w:type="dxa"/>
              <w:start w:w="90" w:type="dxa"/>
              <w:end w:w="90" w:type="dxa"/>
            </w:tcMar>
            <w:shd w:val="clear" w:color="auto" w:fill="F5FAF8"/>
          </w:tcPr>
          <w:p>
            <w:pPr>
              <w:spacing w:after="0" w:line="252" w:lineRule="auto"/>
            </w:pPr>
            <w:r>
              <w:rPr>
                <w:rFonts w:ascii="Calibri" w:hAnsi="Calibri"/>
                <w:color w:val="0B1F1A"/>
                <w:sz w:val="16"/>
              </w:rPr>
              <w:t>4:00–4:40</w:t>
            </w:r>
          </w:p>
        </w:tc>
        <w:tc>
          <w:tcPr>
            <w:tcW w:type="dxa" w:w="2448"/>
            <w:tcMar>
              <w:top w:w="70" w:type="dxa"/>
              <w:bottom w:w="70" w:type="dxa"/>
              <w:start w:w="90" w:type="dxa"/>
              <w:end w:w="90" w:type="dxa"/>
            </w:tcMar>
            <w:shd w:val="clear" w:color="auto" w:fill="F5FAF8"/>
          </w:tcPr>
          <w:p>
            <w:pPr>
              <w:spacing w:after="0" w:line="252" w:lineRule="auto"/>
            </w:pPr>
            <w:r>
              <w:rPr>
                <w:rFonts w:ascii="Calibri" w:hAnsi="Calibri"/>
                <w:color w:val="0B1F1A"/>
                <w:sz w:val="16"/>
              </w:rPr>
              <w:t>History/feedback</w:t>
            </w:r>
          </w:p>
        </w:tc>
        <w:tc>
          <w:tcPr>
            <w:tcW w:type="dxa" w:w="5760"/>
            <w:tcMar>
              <w:top w:w="70" w:type="dxa"/>
              <w:bottom w:w="70" w:type="dxa"/>
              <w:start w:w="90" w:type="dxa"/>
              <w:end w:w="90" w:type="dxa"/>
            </w:tcMar>
            <w:shd w:val="clear" w:color="auto" w:fill="F5FAF8"/>
          </w:tcPr>
          <w:p>
            <w:pPr>
              <w:spacing w:after="0" w:line="252" w:lineRule="auto"/>
            </w:pPr>
            <w:r>
              <w:rPr>
                <w:rFonts w:ascii="Calibri" w:hAnsi="Calibri"/>
                <w:color w:val="0B1F1A"/>
                <w:sz w:val="16"/>
              </w:rPr>
              <w:t>Every score is audited; record an outcome to close the loop.</w:t>
            </w:r>
          </w:p>
        </w:tc>
      </w:tr>
      <w:tr>
        <w:tc>
          <w:tcPr>
            <w:tcW w:type="dxa" w:w="1584"/>
            <w:tcMar>
              <w:top w:w="70" w:type="dxa"/>
              <w:bottom w:w="70" w:type="dxa"/>
              <w:start w:w="90" w:type="dxa"/>
              <w:end w:w="90" w:type="dxa"/>
            </w:tcMar>
          </w:tcPr>
          <w:p>
            <w:pPr>
              <w:spacing w:after="0" w:line="252" w:lineRule="auto"/>
            </w:pPr>
            <w:r>
              <w:rPr>
                <w:rFonts w:ascii="Calibri" w:hAnsi="Calibri"/>
                <w:color w:val="0B1F1A"/>
                <w:sz w:val="16"/>
              </w:rPr>
              <w:t>4:40–5:00</w:t>
            </w:r>
          </w:p>
        </w:tc>
        <w:tc>
          <w:tcPr>
            <w:tcW w:type="dxa" w:w="2448"/>
            <w:tcMar>
              <w:top w:w="70" w:type="dxa"/>
              <w:bottom w:w="70" w:type="dxa"/>
              <w:start w:w="90" w:type="dxa"/>
              <w:end w:w="90" w:type="dxa"/>
            </w:tcMar>
          </w:tcPr>
          <w:p>
            <w:pPr>
              <w:spacing w:after="0" w:line="252" w:lineRule="auto"/>
            </w:pPr>
            <w:r>
              <w:rPr>
                <w:rFonts w:ascii="Calibri" w:hAnsi="Calibri"/>
                <w:color w:val="0B1F1A"/>
                <w:sz w:val="16"/>
              </w:rPr>
              <w:t>Close</w:t>
            </w:r>
          </w:p>
        </w:tc>
        <w:tc>
          <w:tcPr>
            <w:tcW w:type="dxa" w:w="5760"/>
            <w:tcMar>
              <w:top w:w="70" w:type="dxa"/>
              <w:bottom w:w="70" w:type="dxa"/>
              <w:start w:w="90" w:type="dxa"/>
              <w:end w:w="90" w:type="dxa"/>
            </w:tcMar>
          </w:tcPr>
          <w:p>
            <w:pPr>
              <w:spacing w:after="0" w:line="252" w:lineRule="auto"/>
            </w:pPr>
            <w:r>
              <w:rPr>
                <w:rFonts w:ascii="Calibri" w:hAnsi="Calibri"/>
                <w:color w:val="0B1F1A"/>
                <w:sz w:val="16"/>
              </w:rPr>
              <w:t>Summarise the business value, limitations and future work; invite questions.</w:t>
            </w:r>
          </w:p>
        </w:tc>
      </w:tr>
    </w:tbl>
    <w:p>
      <w:pPr>
        <w:spacing w:after="40"/>
      </w:pPr>
    </w:p>
    <w:p>
      <w:r>
        <w:br w:type="page"/>
      </w:r>
    </w:p>
    <w:p>
      <w:pPr>
        <w:pStyle w:val="Heading1"/>
        <w:keepNext/>
        <w:spacing w:before="240" w:after="100"/>
      </w:pPr>
      <w:r>
        <w:t>16. Team contributions</w:t>
      </w:r>
    </w:p>
    <w:p>
      <w:pPr>
        <w:spacing w:after="140" w:line="307" w:lineRule="auto"/>
      </w:pPr>
      <w:r>
        <w:rPr>
          <w:i w:val="0"/>
        </w:rPr>
        <w:t>The project was delivered by a three-person team. Pushkar led the machine-learning and backend work; Karan owned research and the frontend; Shaurya supported data validation, testing and documentation. The percentages reflect relative effort agreed by the team.</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2409"/>
        <w:gridCol w:w="2409"/>
        <w:gridCol w:w="2409"/>
        <w:gridCol w:w="2409"/>
      </w:tblGrid>
      <w:tr>
        <w:trPr>
          <w:tblHeader w:val="true"/>
        </w:trPr>
        <w:tc>
          <w:tcPr>
            <w:tcW w:type="dxa" w:w="1440"/>
            <w:shd w:val="clear" w:color="auto" w:fill="0B3B2E"/>
            <w:tcMar>
              <w:top w:w="70" w:type="dxa"/>
              <w:bottom w:w="70" w:type="dxa"/>
              <w:start w:w="90" w:type="dxa"/>
              <w:end w:w="90" w:type="dxa"/>
            </w:tcMar>
          </w:tcPr>
          <w:p>
            <w:pPr>
              <w:spacing w:after="0"/>
            </w:pPr>
            <w:r>
              <w:rPr>
                <w:rFonts w:ascii="Calibri" w:hAnsi="Calibri"/>
                <w:b/>
                <w:color w:val="FFFFFF"/>
                <w:sz w:val="16"/>
              </w:rPr>
              <w:t>Member</w:t>
            </w:r>
          </w:p>
        </w:tc>
        <w:tc>
          <w:tcPr>
            <w:tcW w:type="dxa" w:w="2016"/>
            <w:shd w:val="clear" w:color="auto" w:fill="0B3B2E"/>
            <w:tcMar>
              <w:top w:w="70" w:type="dxa"/>
              <w:bottom w:w="70" w:type="dxa"/>
              <w:start w:w="90" w:type="dxa"/>
              <w:end w:w="90" w:type="dxa"/>
            </w:tcMar>
          </w:tcPr>
          <w:p>
            <w:pPr>
              <w:spacing w:after="0"/>
            </w:pPr>
            <w:r>
              <w:rPr>
                <w:rFonts w:ascii="Calibri" w:hAnsi="Calibri"/>
                <w:b/>
                <w:color w:val="FFFFFF"/>
                <w:sz w:val="16"/>
              </w:rPr>
              <w:t>Primary role</w:t>
            </w:r>
          </w:p>
        </w:tc>
        <w:tc>
          <w:tcPr>
            <w:tcW w:type="dxa" w:w="5184"/>
            <w:shd w:val="clear" w:color="auto" w:fill="0B3B2E"/>
            <w:tcMar>
              <w:top w:w="70" w:type="dxa"/>
              <w:bottom w:w="70" w:type="dxa"/>
              <w:start w:w="90" w:type="dxa"/>
              <w:end w:w="90" w:type="dxa"/>
            </w:tcMar>
          </w:tcPr>
          <w:p>
            <w:pPr>
              <w:spacing w:after="0"/>
            </w:pPr>
            <w:r>
              <w:rPr>
                <w:rFonts w:ascii="Calibri" w:hAnsi="Calibri"/>
                <w:b/>
                <w:color w:val="FFFFFF"/>
                <w:sz w:val="16"/>
              </w:rPr>
              <w:t>Key contributions</w:t>
            </w:r>
          </w:p>
        </w:tc>
        <w:tc>
          <w:tcPr>
            <w:tcW w:type="dxa" w:w="1008"/>
            <w:shd w:val="clear" w:color="auto" w:fill="0B3B2E"/>
            <w:tcMar>
              <w:top w:w="70" w:type="dxa"/>
              <w:bottom w:w="70" w:type="dxa"/>
              <w:start w:w="90" w:type="dxa"/>
              <w:end w:w="90" w:type="dxa"/>
            </w:tcMar>
          </w:tcPr>
          <w:p>
            <w:pPr>
              <w:spacing w:after="0"/>
            </w:pPr>
            <w:r>
              <w:rPr>
                <w:rFonts w:ascii="Calibri" w:hAnsi="Calibri"/>
                <w:b/>
                <w:color w:val="FFFFFF"/>
                <w:sz w:val="16"/>
              </w:rPr>
              <w:t>Share</w:t>
            </w:r>
          </w:p>
        </w:tc>
      </w:tr>
      <w:tr>
        <w:tc>
          <w:tcPr>
            <w:tcW w:type="dxa" w:w="1440"/>
            <w:tcMar>
              <w:top w:w="70" w:type="dxa"/>
              <w:bottom w:w="70" w:type="dxa"/>
              <w:start w:w="90" w:type="dxa"/>
              <w:end w:w="90" w:type="dxa"/>
            </w:tcMar>
          </w:tcPr>
          <w:p>
            <w:pPr>
              <w:spacing w:after="0" w:line="252" w:lineRule="auto"/>
            </w:pPr>
            <w:r>
              <w:rPr>
                <w:rFonts w:ascii="Calibri" w:hAnsi="Calibri"/>
                <w:color w:val="0B1F1A"/>
                <w:sz w:val="16"/>
              </w:rPr>
              <w:t>Pushkar</w:t>
            </w:r>
          </w:p>
        </w:tc>
        <w:tc>
          <w:tcPr>
            <w:tcW w:type="dxa" w:w="2016"/>
            <w:tcMar>
              <w:top w:w="70" w:type="dxa"/>
              <w:bottom w:w="70" w:type="dxa"/>
              <w:start w:w="90" w:type="dxa"/>
              <w:end w:w="90" w:type="dxa"/>
            </w:tcMar>
          </w:tcPr>
          <w:p>
            <w:pPr>
              <w:spacing w:after="0" w:line="252" w:lineRule="auto"/>
            </w:pPr>
            <w:r>
              <w:rPr>
                <w:rFonts w:ascii="Calibri" w:hAnsi="Calibri"/>
                <w:color w:val="0B1F1A"/>
                <w:sz w:val="16"/>
              </w:rPr>
              <w:t>Project lead · ML &amp; backend</w:t>
            </w:r>
          </w:p>
        </w:tc>
        <w:tc>
          <w:tcPr>
            <w:tcW w:type="dxa" w:w="5184"/>
            <w:tcMar>
              <w:top w:w="70" w:type="dxa"/>
              <w:bottom w:w="70" w:type="dxa"/>
              <w:start w:w="90" w:type="dxa"/>
              <w:end w:w="90" w:type="dxa"/>
            </w:tcMar>
          </w:tcPr>
          <w:p>
            <w:pPr>
              <w:spacing w:after="0" w:line="252" w:lineRule="auto"/>
            </w:pPr>
            <w:r>
              <w:rPr>
                <w:rFonts w:ascii="Calibri" w:hAnsi="Calibri"/>
                <w:color w:val="0B1F1A"/>
                <w:sz w:val="16"/>
              </w:rPr>
              <w:t>Problem framing; data cleaning and feature engineering; six-model CV comparison; threshold tuning; SHAP pipeline; FastAPI endpoints; SQLite integration; test suite; end-to-end integration; documentation lead.</w:t>
            </w:r>
          </w:p>
        </w:tc>
        <w:tc>
          <w:tcPr>
            <w:tcW w:type="dxa" w:w="1008"/>
            <w:tcMar>
              <w:top w:w="70" w:type="dxa"/>
              <w:bottom w:w="70" w:type="dxa"/>
              <w:start w:w="90" w:type="dxa"/>
              <w:end w:w="90" w:type="dxa"/>
            </w:tcMar>
          </w:tcPr>
          <w:p>
            <w:pPr>
              <w:spacing w:after="0" w:line="252" w:lineRule="auto"/>
            </w:pPr>
            <w:r>
              <w:rPr>
                <w:rFonts w:ascii="Calibri" w:hAnsi="Calibri"/>
                <w:color w:val="0B1F1A"/>
                <w:sz w:val="16"/>
              </w:rPr>
              <w:t>45%</w:t>
            </w:r>
          </w:p>
        </w:tc>
      </w:tr>
      <w:tr>
        <w:tc>
          <w:tcPr>
            <w:tcW w:type="dxa" w:w="1440"/>
            <w:tcMar>
              <w:top w:w="70" w:type="dxa"/>
              <w:bottom w:w="70" w:type="dxa"/>
              <w:start w:w="90" w:type="dxa"/>
              <w:end w:w="90" w:type="dxa"/>
            </w:tcMar>
            <w:shd w:val="clear" w:color="auto" w:fill="F5FAF8"/>
          </w:tcPr>
          <w:p>
            <w:pPr>
              <w:spacing w:after="0" w:line="252" w:lineRule="auto"/>
            </w:pPr>
            <w:r>
              <w:rPr>
                <w:rFonts w:ascii="Calibri" w:hAnsi="Calibri"/>
                <w:color w:val="0B1F1A"/>
                <w:sz w:val="16"/>
              </w:rPr>
              <w:t>Karan</w:t>
            </w:r>
          </w:p>
        </w:tc>
        <w:tc>
          <w:tcPr>
            <w:tcW w:type="dxa" w:w="2016"/>
            <w:tcMar>
              <w:top w:w="70" w:type="dxa"/>
              <w:bottom w:w="70" w:type="dxa"/>
              <w:start w:w="90" w:type="dxa"/>
              <w:end w:w="90" w:type="dxa"/>
            </w:tcMar>
            <w:shd w:val="clear" w:color="auto" w:fill="F5FAF8"/>
          </w:tcPr>
          <w:p>
            <w:pPr>
              <w:spacing w:after="0" w:line="252" w:lineRule="auto"/>
            </w:pPr>
            <w:r>
              <w:rPr>
                <w:rFonts w:ascii="Calibri" w:hAnsi="Calibri"/>
                <w:color w:val="0B1F1A"/>
                <w:sz w:val="16"/>
              </w:rPr>
              <w:t>Research · frontend &amp; visual design</w:t>
            </w:r>
          </w:p>
        </w:tc>
        <w:tc>
          <w:tcPr>
            <w:tcW w:type="dxa" w:w="5184"/>
            <w:tcMar>
              <w:top w:w="70" w:type="dxa"/>
              <w:bottom w:w="70" w:type="dxa"/>
              <w:start w:w="90" w:type="dxa"/>
              <w:end w:w="90" w:type="dxa"/>
            </w:tcMar>
            <w:shd w:val="clear" w:color="auto" w:fill="F5FAF8"/>
          </w:tcPr>
          <w:p>
            <w:pPr>
              <w:spacing w:after="0" w:line="252" w:lineRule="auto"/>
            </w:pPr>
            <w:r>
              <w:rPr>
                <w:rFonts w:ascii="Calibri" w:hAnsi="Calibri"/>
                <w:color w:val="0B1F1A"/>
                <w:sz w:val="16"/>
              </w:rPr>
              <w:t>Literature and model-family research; SHAP and retention-strategy research; dashboard UX and visual design; frontend implementation; screenshot and presentation visuals.</w:t>
            </w:r>
          </w:p>
        </w:tc>
        <w:tc>
          <w:tcPr>
            <w:tcW w:type="dxa" w:w="1008"/>
            <w:tcMar>
              <w:top w:w="70" w:type="dxa"/>
              <w:bottom w:w="70" w:type="dxa"/>
              <w:start w:w="90" w:type="dxa"/>
              <w:end w:w="90" w:type="dxa"/>
            </w:tcMar>
            <w:shd w:val="clear" w:color="auto" w:fill="F5FAF8"/>
          </w:tcPr>
          <w:p>
            <w:pPr>
              <w:spacing w:after="0" w:line="252" w:lineRule="auto"/>
            </w:pPr>
            <w:r>
              <w:rPr>
                <w:rFonts w:ascii="Calibri" w:hAnsi="Calibri"/>
                <w:color w:val="0B1F1A"/>
                <w:sz w:val="16"/>
              </w:rPr>
              <w:t>35%</w:t>
            </w:r>
          </w:p>
        </w:tc>
      </w:tr>
      <w:tr>
        <w:tc>
          <w:tcPr>
            <w:tcW w:type="dxa" w:w="1440"/>
            <w:tcMar>
              <w:top w:w="70" w:type="dxa"/>
              <w:bottom w:w="70" w:type="dxa"/>
              <w:start w:w="90" w:type="dxa"/>
              <w:end w:w="90" w:type="dxa"/>
            </w:tcMar>
          </w:tcPr>
          <w:p>
            <w:pPr>
              <w:spacing w:after="0" w:line="252" w:lineRule="auto"/>
            </w:pPr>
            <w:r>
              <w:rPr>
                <w:rFonts w:ascii="Calibri" w:hAnsi="Calibri"/>
                <w:color w:val="0B1F1A"/>
                <w:sz w:val="16"/>
              </w:rPr>
              <w:t>Shaurya</w:t>
            </w:r>
          </w:p>
        </w:tc>
        <w:tc>
          <w:tcPr>
            <w:tcW w:type="dxa" w:w="2016"/>
            <w:tcMar>
              <w:top w:w="70" w:type="dxa"/>
              <w:bottom w:w="70" w:type="dxa"/>
              <w:start w:w="90" w:type="dxa"/>
              <w:end w:w="90" w:type="dxa"/>
            </w:tcMar>
          </w:tcPr>
          <w:p>
            <w:pPr>
              <w:spacing w:after="0" w:line="252" w:lineRule="auto"/>
            </w:pPr>
            <w:r>
              <w:rPr>
                <w:rFonts w:ascii="Calibri" w:hAnsi="Calibri"/>
                <w:color w:val="0B1F1A"/>
                <w:sz w:val="16"/>
              </w:rPr>
              <w:t>Data validation · testing &amp; documentation support</w:t>
            </w:r>
          </w:p>
        </w:tc>
        <w:tc>
          <w:tcPr>
            <w:tcW w:type="dxa" w:w="5184"/>
            <w:tcMar>
              <w:top w:w="70" w:type="dxa"/>
              <w:bottom w:w="70" w:type="dxa"/>
              <w:start w:w="90" w:type="dxa"/>
              <w:end w:w="90" w:type="dxa"/>
            </w:tcMar>
          </w:tcPr>
          <w:p>
            <w:pPr>
              <w:spacing w:after="0" w:line="252" w:lineRule="auto"/>
            </w:pPr>
            <w:r>
              <w:rPr>
                <w:rFonts w:ascii="Calibri" w:hAnsi="Calibri"/>
                <w:color w:val="0B1F1A"/>
                <w:sz w:val="16"/>
              </w:rPr>
              <w:t>EDA sanity checks; TotalCharges and segment validation; test-case review; documentation formatting; viva rehearsal support.</w:t>
            </w:r>
          </w:p>
        </w:tc>
        <w:tc>
          <w:tcPr>
            <w:tcW w:type="dxa" w:w="1008"/>
            <w:tcMar>
              <w:top w:w="70" w:type="dxa"/>
              <w:bottom w:w="70" w:type="dxa"/>
              <w:start w:w="90" w:type="dxa"/>
              <w:end w:w="90" w:type="dxa"/>
            </w:tcMar>
          </w:tcPr>
          <w:p>
            <w:pPr>
              <w:spacing w:after="0" w:line="252" w:lineRule="auto"/>
            </w:pPr>
            <w:r>
              <w:rPr>
                <w:rFonts w:ascii="Calibri" w:hAnsi="Calibri"/>
                <w:color w:val="0B1F1A"/>
                <w:sz w:val="16"/>
              </w:rPr>
              <w:t>20%</w:t>
            </w:r>
          </w:p>
        </w:tc>
      </w:tr>
    </w:tbl>
    <w:p>
      <w:pPr>
        <w:spacing w:after="40"/>
      </w:pPr>
    </w:p>
    <w:tbl>
      <w:tblPr>
        <w:tblW w:type="auto" w:w="0"/>
        <w:jc w:val="center"/>
        <w:tblLook w:firstColumn="1" w:firstRow="1" w:lastColumn="0" w:lastRow="0" w:noHBand="0" w:noVBand="1" w:val="04A0"/>
        <w:tblBorders>
          <w:top w:val="single" w:sz="6" w:space="0" w:color="BFE8D5"/>
          <w:left w:val="single" w:sz="6" w:space="0" w:color="BFE8D5"/>
          <w:bottom w:val="single" w:sz="6" w:space="0" w:color="BFE8D5"/>
          <w:right w:val="single" w:sz="6" w:space="0" w:color="BFE8D5"/>
          <w:insideH w:val="single" w:sz="6" w:space="0" w:color="BFE8D5"/>
          <w:insideV w:val="single" w:sz="6" w:space="0" w:color="BFE8D5"/>
        </w:tblBorders>
      </w:tblPr>
      <w:tblGrid>
        <w:gridCol w:w="9638"/>
      </w:tblGrid>
      <w:tr>
        <w:tc>
          <w:tcPr>
            <w:tcW w:type="dxa" w:w="9638"/>
            <w:shd w:val="clear" w:color="auto" w:fill="F1FAF6"/>
            <w:tcMar>
              <w:top w:w="130" w:type="dxa"/>
              <w:bottom w:w="130" w:type="dxa"/>
              <w:start w:w="170" w:type="dxa"/>
              <w:end w:w="170" w:type="dxa"/>
            </w:tcMar>
          </w:tcPr>
          <w:p>
            <w:pPr>
              <w:spacing w:after="60"/>
            </w:pPr>
            <w:r>
              <w:rPr>
                <w:b/>
                <w:color w:val="0EA96F"/>
                <w:sz w:val="19"/>
              </w:rPr>
              <w:t>Contribution policy</w:t>
            </w:r>
          </w:p>
          <w:p>
            <w:pPr>
              <w:spacing w:after="0" w:line="288" w:lineRule="auto"/>
            </w:pPr>
            <w:r>
              <w:rPr>
                <w:color w:val="0B1F1A"/>
                <w:sz w:val="18"/>
              </w:rPr>
              <w:t>Pushkar carries the largest share because he owns the critical ML and backend path. Shaurya has the smallest share, focused on support tasks. Karan combines research and frontend work as requested.</w:t>
            </w:r>
          </w:p>
        </w:tc>
      </w:tr>
    </w:tbl>
    <w:p>
      <w:pPr>
        <w:spacing w:after="40"/>
      </w:pPr>
    </w:p>
    <w:p>
      <w:r>
        <w:br w:type="page"/>
      </w:r>
    </w:p>
    <w:p>
      <w:pPr>
        <w:pStyle w:val="Heading1"/>
        <w:keepNext/>
        <w:spacing w:before="240" w:after="100"/>
      </w:pPr>
      <w:r>
        <w:t>17. Master prompt for a free Claude presentation</w:t>
      </w:r>
    </w:p>
    <w:p>
      <w:pPr>
        <w:spacing w:after="140" w:line="307" w:lineRule="auto"/>
      </w:pPr>
      <w:r>
        <w:rPr>
          <w:i w:val="0"/>
        </w:rPr>
        <w:t>The following prompt is designed to be pasted into Claude. It asks for a complete, editable PowerPoint generated with python-pptx, using only free tools and assets. It deliberately excludes authentication, paid templates and paywalled stock imagery. The same text is saved separately as docs/claude_ppt_master_prompt.txt for easy copy-paste.</w:t>
      </w:r>
    </w:p>
    <w:p>
      <w:pPr>
        <w:pStyle w:val="Heading2"/>
        <w:keepNext/>
        <w:spacing w:before="180" w:after="100"/>
      </w:pPr>
      <w:r>
        <w:t>17.1 Copy-paste prompt</w:t>
      </w:r>
    </w:p>
    <w:tbl>
      <w:tblPr>
        <w:tblW w:type="auto" w:w="0"/>
        <w:jc w:val="center"/>
        <w:tblLook w:firstColumn="1" w:firstRow="1" w:lastColumn="0" w:lastRow="0" w:noHBand="0" w:noVBand="1" w:val="04A0"/>
        <w:tblBorders>
          <w:top w:val="single" w:sz="5" w:space="0" w:color="D2E6DC"/>
          <w:left w:val="single" w:sz="5" w:space="0" w:color="D2E6DC"/>
          <w:bottom w:val="single" w:sz="5" w:space="0" w:color="D2E6DC"/>
          <w:right w:val="single" w:sz="5" w:space="0" w:color="D2E6DC"/>
          <w:insideH w:val="single" w:sz="5" w:space="0" w:color="D2E6DC"/>
          <w:insideV w:val="single" w:sz="5" w:space="0" w:color="D2E6DC"/>
        </w:tblBorders>
      </w:tblPr>
      <w:tblGrid>
        <w:gridCol w:w="9638"/>
      </w:tblGrid>
      <w:tr>
        <w:tc>
          <w:tcPr>
            <w:tcW w:type="dxa" w:w="9638"/>
            <w:shd w:val="clear" w:color="auto" w:fill="F6F9F7"/>
            <w:tcMar>
              <w:top w:w="130" w:type="dxa"/>
              <w:bottom w:w="130" w:type="dxa"/>
              <w:start w:w="150" w:type="dxa"/>
              <w:end w:w="150" w:type="dxa"/>
            </w:tcMar>
          </w:tcPr>
          <w:p>
            <w:pPr>
              <w:spacing w:after="0" w:line="252" w:lineRule="auto"/>
            </w:pPr>
            <w:r>
              <w:rPr>
                <w:rFonts w:ascii="Consolas" w:hAnsi="Consolas"/>
                <w:color w:val="1B332B"/>
                <w:sz w:val="15"/>
              </w:rPr>
              <w:t>You are a senior presentation designer and data storyteller. Create a complete, presentation-ready, 16:9 PowerPoint deck for a 3rd-semester machine-learning project called "Telco Churn Intelligence" (product name: RetainIQ). The deck must be suitable for a 10-minute viva presentation and a 5-minute demo.</w:t>
            </w:r>
          </w:p>
          <w:p>
            <w:pPr>
              <w:spacing w:after="0" w:line="252" w:lineRule="auto"/>
            </w:pPr>
            <w:r>
              <w:rPr>
                <w:rFonts w:ascii="Consolas" w:hAnsi="Consolas"/>
                <w:color w:val="1B332B"/>
                <w:sz w:val="15"/>
              </w:rPr>
              <w:t xml:space="preserve"> </w:t>
            </w:r>
          </w:p>
          <w:p>
            <w:pPr>
              <w:spacing w:after="0" w:line="252" w:lineRule="auto"/>
            </w:pPr>
            <w:r>
              <w:rPr>
                <w:rFonts w:ascii="Consolas" w:hAnsi="Consolas"/>
                <w:color w:val="1B332B"/>
                <w:sz w:val="15"/>
              </w:rPr>
              <w:t>NON-NEGOTIABLE CONSTRAINTS</w:t>
            </w:r>
          </w:p>
          <w:p>
            <w:pPr>
              <w:spacing w:after="0" w:line="252" w:lineRule="auto"/>
            </w:pPr>
            <w:r>
              <w:rPr>
                <w:rFonts w:ascii="Consolas" w:hAnsi="Consolas"/>
                <w:color w:val="1B332B"/>
                <w:sz w:val="15"/>
              </w:rPr>
              <w:t>- Use only free, open, no-paywall tools and assets. Do not use paid templates, paywalled stock-photo sites, login-gated plugins, watermarked assets or premium AI slide generators.</w:t>
            </w:r>
          </w:p>
          <w:p>
            <w:pPr>
              <w:spacing w:after="0" w:line="252" w:lineRule="auto"/>
            </w:pPr>
            <w:r>
              <w:rPr>
                <w:rFonts w:ascii="Consolas" w:hAnsi="Consolas"/>
                <w:color w:val="1B332B"/>
                <w:sz w:val="15"/>
              </w:rPr>
              <w:t>- Authentication is out of scope. Do not add login, signup, paywall or subscription screens. The demo is a local, no-auth dashboard.</w:t>
            </w:r>
          </w:p>
          <w:p>
            <w:pPr>
              <w:spacing w:after="0" w:line="252" w:lineRule="auto"/>
            </w:pPr>
            <w:r>
              <w:rPr>
                <w:rFonts w:ascii="Consolas" w:hAnsi="Consolas"/>
                <w:color w:val="1B332B"/>
                <w:sz w:val="15"/>
              </w:rPr>
              <w:t>- Generate the deck with python-pptx (free and open source). Return ONE complete runnable Python script in a single code block, plus the exact install command.</w:t>
            </w:r>
          </w:p>
          <w:p>
            <w:pPr>
              <w:spacing w:after="0" w:line="252" w:lineRule="auto"/>
            </w:pPr>
            <w:r>
              <w:rPr>
                <w:rFonts w:ascii="Consolas" w:hAnsi="Consolas"/>
                <w:color w:val="1B332B"/>
                <w:sz w:val="15"/>
              </w:rPr>
              <w:t>- Do NOT invent metrics, names or features. Use only the project facts below. If a fact is missing, write [VERIFY] instead of guessing.</w:t>
            </w:r>
          </w:p>
          <w:p>
            <w:pPr>
              <w:spacing w:after="0" w:line="252" w:lineRule="auto"/>
            </w:pPr>
            <w:r>
              <w:rPr>
                <w:rFonts w:ascii="Consolas" w:hAnsi="Consolas"/>
                <w:color w:val="1B332B"/>
                <w:sz w:val="15"/>
              </w:rPr>
              <w:t>- Use native editable charts and shapes where possible; do not embed random internet images. If local screenshots are available, reference these paths: docs/screenshots/overview.png, docs/screenshots/customer_drawer.png, docs/screenshots/insights.png.</w:t>
            </w:r>
          </w:p>
          <w:p>
            <w:pPr>
              <w:spacing w:after="0" w:line="252" w:lineRule="auto"/>
            </w:pPr>
            <w:r>
              <w:rPr>
                <w:rFonts w:ascii="Consolas" w:hAnsi="Consolas"/>
                <w:color w:val="1B332B"/>
                <w:sz w:val="15"/>
              </w:rPr>
              <w:t>- Keep text large and sparse: title 30-36pt, body 16-20pt, footnotes 10-12pt, maximum 5 bullets per slide.</w:t>
            </w:r>
          </w:p>
          <w:p>
            <w:pPr>
              <w:spacing w:after="0" w:line="252" w:lineRule="auto"/>
            </w:pPr>
            <w:r>
              <w:rPr>
                <w:rFonts w:ascii="Consolas" w:hAnsi="Consolas"/>
                <w:color w:val="1B332B"/>
                <w:sz w:val="15"/>
              </w:rPr>
              <w:t xml:space="preserve"> </w:t>
            </w:r>
          </w:p>
          <w:p>
            <w:pPr>
              <w:spacing w:after="0" w:line="252" w:lineRule="auto"/>
            </w:pPr>
            <w:r>
              <w:rPr>
                <w:rFonts w:ascii="Consolas" w:hAnsi="Consolas"/>
                <w:color w:val="1B332B"/>
                <w:sz w:val="15"/>
              </w:rPr>
              <w:t>PROJECT FACTS (exact)</w:t>
            </w:r>
          </w:p>
          <w:p>
            <w:pPr>
              <w:spacing w:after="0" w:line="252" w:lineRule="auto"/>
            </w:pPr>
            <w:r>
              <w:rPr>
                <w:rFonts w:ascii="Consolas" w:hAnsi="Consolas"/>
                <w:color w:val="1B332B"/>
                <w:sz w:val="15"/>
              </w:rPr>
              <w:t>- Dataset: IBM Telco Customer Churn, 7,043 customers, 21 raw columns, 26.5% churn; stratified 80/20 split (5,634 train / 1,409 test).</w:t>
            </w:r>
          </w:p>
          <w:p>
            <w:pPr>
              <w:spacing w:after="0" w:line="252" w:lineRule="auto"/>
            </w:pPr>
            <w:r>
              <w:rPr>
                <w:rFonts w:ascii="Consolas" w:hAnsi="Consolas"/>
                <w:color w:val="1B332B"/>
                <w:sz w:val="15"/>
              </w:rPr>
              <w:t>- Task: supervised binary classification (churn vs stay).</w:t>
            </w:r>
          </w:p>
          <w:p>
            <w:pPr>
              <w:spacing w:after="0" w:line="252" w:lineRule="auto"/>
            </w:pPr>
            <w:r>
              <w:rPr>
                <w:rFonts w:ascii="Consolas" w:hAnsi="Consolas"/>
                <w:color w:val="1B332B"/>
                <w:sz w:val="15"/>
              </w:rPr>
              <w:t>- Models compared: Logistic Regression, Decision Tree, Random Forest, XGBoost, KNN, SVM.</w:t>
            </w:r>
          </w:p>
          <w:p>
            <w:pPr>
              <w:spacing w:after="0" w:line="252" w:lineRule="auto"/>
            </w:pPr>
            <w:r>
              <w:rPr>
                <w:rFonts w:ascii="Consolas" w:hAnsi="Consolas"/>
                <w:color w:val="1B332B"/>
                <w:sz w:val="15"/>
              </w:rPr>
              <w:t>- 5-fold CV ROC-AUC: LR 0.8475, XGBoost 0.8409, Random Forest 0.8359, Decision Tree 0.8265, KNN 0.8117, SVM 0.7984.</w:t>
            </w:r>
          </w:p>
          <w:p>
            <w:pPr>
              <w:spacing w:after="0" w:line="252" w:lineRule="auto"/>
            </w:pPr>
            <w:r>
              <w:rPr>
                <w:rFonts w:ascii="Consolas" w:hAnsi="Consolas"/>
                <w:color w:val="1B332B"/>
                <w:sz w:val="15"/>
              </w:rPr>
              <w:t>- Selected model: Logistic Regression (highest CV ROC-AUC; XGBoost close but more complex).</w:t>
            </w:r>
          </w:p>
          <w:p>
            <w:pPr>
              <w:spacing w:after="0" w:line="252" w:lineRule="auto"/>
            </w:pPr>
            <w:r>
              <w:rPr>
                <w:rFonts w:ascii="Consolas" w:hAnsi="Consolas"/>
                <w:color w:val="1B332B"/>
                <w:sz w:val="15"/>
              </w:rPr>
              <w:t>- Test metrics at threshold 0.32: ROC-AUC 0.8456, PR-AUC 0.6519, recall 0.7406, precision 0.5410, F1 0.6253, Brier 0.1362.</w:t>
            </w:r>
          </w:p>
          <w:p>
            <w:pPr>
              <w:spacing w:after="0" w:line="252" w:lineRule="auto"/>
            </w:pPr>
            <w:r>
              <w:rPr>
                <w:rFonts w:ascii="Consolas" w:hAnsi="Consolas"/>
                <w:color w:val="1B332B"/>
                <w:sz w:val="15"/>
              </w:rPr>
              <w:t>- Confusion matrix: TN 800, FP 235, FN 97, TP 277.</w:t>
            </w:r>
          </w:p>
          <w:p>
            <w:pPr>
              <w:spacing w:after="0" w:line="252" w:lineRule="auto"/>
            </w:pPr>
            <w:r>
              <w:rPr>
                <w:rFonts w:ascii="Consolas" w:hAnsi="Consolas"/>
                <w:color w:val="1B332B"/>
                <w:sz w:val="15"/>
              </w:rPr>
              <w:t>- Risk bands: low &lt; 0.32 (4,552 customers), medium 0.32-0.60 (1,489), high &gt;= 0.60 (1,002).</w:t>
            </w:r>
          </w:p>
          <w:p>
            <w:pPr>
              <w:spacing w:after="0" w:line="252" w:lineRule="auto"/>
            </w:pPr>
            <w:r>
              <w:rPr>
                <w:rFonts w:ascii="Consolas" w:hAnsi="Consolas"/>
                <w:color w:val="1B332B"/>
                <w:sz w:val="15"/>
              </w:rPr>
              <w:t>- Engineered features: NumServices, SupportServices, StreamingServices, IsNewCustomer, HasFamily. Ratio features were removed due to collinearity and unstable SHAP.</w:t>
            </w:r>
          </w:p>
          <w:p>
            <w:pPr>
              <w:spacing w:after="0" w:line="252" w:lineRule="auto"/>
            </w:pPr>
            <w:r>
              <w:rPr>
                <w:rFonts w:ascii="Consolas" w:hAnsi="Consolas"/>
                <w:color w:val="1B332B"/>
                <w:sz w:val="15"/>
              </w:rPr>
              <w:t>- Explainability: LinearSHAP for the selected model, TreeSHAP for tree models, permutation SHAP fallback, coefficients and native feature importance.</w:t>
            </w:r>
          </w:p>
          <w:p>
            <w:pPr>
              <w:spacing w:after="0" w:line="252" w:lineRule="auto"/>
            </w:pPr>
            <w:r>
              <w:rPr>
                <w:rFonts w:ascii="Consolas" w:hAnsi="Consolas"/>
                <w:color w:val="1B332B"/>
                <w:sz w:val="15"/>
              </w:rPr>
              <w:t>- Top global drivers: internet service, contract, tenure, monthly charges, streaming services, payment method, new-customer status, online security.</w:t>
            </w:r>
          </w:p>
          <w:p>
            <w:pPr>
              <w:spacing w:after="0" w:line="252" w:lineRule="auto"/>
            </w:pPr>
            <w:r>
              <w:rPr>
                <w:rFonts w:ascii="Consolas" w:hAnsi="Consolas"/>
                <w:color w:val="1B332B"/>
                <w:sz w:val="15"/>
              </w:rPr>
              <w:t>- Recommendation engine: 14 rules, e.g. annual contract conversion, fiber plan review, autopay migration, tech-support trial, onboarding, loyalty review, senior support, bill clarity, streaming bundle, device protection, targeted save offer, low-risk nurture.</w:t>
            </w:r>
          </w:p>
          <w:p>
            <w:pPr>
              <w:spacing w:after="0" w:line="252" w:lineRule="auto"/>
            </w:pPr>
            <w:r>
              <w:rPr>
                <w:rFonts w:ascii="Consolas" w:hAnsi="Consolas"/>
                <w:color w:val="1B332B"/>
                <w:sz w:val="15"/>
              </w:rPr>
              <w:t>- Risk formulas: annual revenue at risk = monthly charges x 12 x P(churn); expected remaining months = min(1/P(churn), 72); estimated CLV = monthly charges x expected remaining months.</w:t>
            </w:r>
          </w:p>
          <w:p>
            <w:pPr>
              <w:spacing w:after="0" w:line="252" w:lineRule="auto"/>
            </w:pPr>
            <w:r>
              <w:rPr>
                <w:rFonts w:ascii="Consolas" w:hAnsi="Consolas"/>
                <w:color w:val="1B332B"/>
                <w:sz w:val="15"/>
              </w:rPr>
              <w:t>- System: FastAPI + Pydantic backend; scikit-learn/XGBoost/SHAP model bundle; SQLite for prediction history, feedback and saved actions; React + Vite dashboard served at /app/.</w:t>
            </w:r>
          </w:p>
          <w:p>
            <w:pPr>
              <w:spacing w:after="0" w:line="252" w:lineRule="auto"/>
            </w:pPr>
            <w:r>
              <w:rPr>
                <w:rFonts w:ascii="Consolas" w:hAnsi="Consolas"/>
                <w:color w:val="1B332B"/>
                <w:sz w:val="15"/>
              </w:rPr>
              <w:t>- Dashboard pages: Overview, Customers, Score customer, Model insights, Retention queue, Score history.</w:t>
            </w:r>
          </w:p>
          <w:p>
            <w:pPr>
              <w:spacing w:after="0" w:line="252" w:lineRule="auto"/>
            </w:pPr>
            <w:r>
              <w:rPr>
                <w:rFonts w:ascii="Consolas" w:hAnsi="Consolas"/>
                <w:color w:val="1B332B"/>
                <w:sz w:val="15"/>
              </w:rPr>
              <w:t>- Key API endpoints: /dashboard/summary, /model/info, /model/metrics, /model/features, /predict, /predict/batch, /customers/high-risk, /customers/{id}, /eda/summary, /actions, /history, /feedback.</w:t>
            </w:r>
          </w:p>
          <w:p>
            <w:pPr>
              <w:spacing w:after="0" w:line="252" w:lineRule="auto"/>
            </w:pPr>
            <w:r>
              <w:rPr>
                <w:rFonts w:ascii="Consolas" w:hAnsi="Consolas"/>
                <w:color w:val="1B332B"/>
                <w:sz w:val="15"/>
              </w:rPr>
              <w:t>- Testing: 166 automated tests, ruff clean, Playwright UI smoke test with zero console errors.</w:t>
            </w:r>
          </w:p>
          <w:p>
            <w:pPr>
              <w:spacing w:after="0" w:line="252" w:lineRule="auto"/>
            </w:pPr>
            <w:r>
              <w:rPr>
                <w:rFonts w:ascii="Consolas" w:hAnsi="Consolas"/>
                <w:color w:val="1B332B"/>
                <w:sz w:val="15"/>
              </w:rPr>
              <w:t>- Team: Pushkar (project lead, ML &amp; backend, 45%), Karan (research, frontend &amp; visual design, 35%), Shaurya (data validation, testing &amp; documentation support, 20%).</w:t>
            </w:r>
          </w:p>
          <w:p>
            <w:pPr>
              <w:spacing w:after="0" w:line="252" w:lineRule="auto"/>
            </w:pPr>
            <w:r>
              <w:rPr>
                <w:rFonts w:ascii="Consolas" w:hAnsi="Consolas"/>
                <w:color w:val="1B332B"/>
                <w:sz w:val="15"/>
              </w:rPr>
              <w:t>- Demo URL: http://127.0.0.1:8000/app/</w:t>
            </w:r>
          </w:p>
          <w:p>
            <w:pPr>
              <w:spacing w:after="0" w:line="252" w:lineRule="auto"/>
            </w:pPr>
            <w:r>
              <w:rPr>
                <w:rFonts w:ascii="Consolas" w:hAnsi="Consolas"/>
                <w:color w:val="1B332B"/>
                <w:sz w:val="15"/>
              </w:rPr>
              <w:t>- Dataset source: IBM Telco Customer Churn, Kaggle (blastchar/telco-customer-churn).</w:t>
            </w:r>
          </w:p>
          <w:p>
            <w:pPr>
              <w:spacing w:after="0" w:line="252" w:lineRule="auto"/>
            </w:pPr>
            <w:r>
              <w:rPr>
                <w:rFonts w:ascii="Consolas" w:hAnsi="Consolas"/>
                <w:color w:val="1B332B"/>
                <w:sz w:val="15"/>
              </w:rPr>
              <w:t>- The system is a decision-support prototype. SHAP is not causality; recommendations are heuristics, not uplift estimates.</w:t>
            </w:r>
          </w:p>
          <w:p>
            <w:pPr>
              <w:spacing w:after="0" w:line="252" w:lineRule="auto"/>
            </w:pPr>
            <w:r>
              <w:rPr>
                <w:rFonts w:ascii="Consolas" w:hAnsi="Consolas"/>
                <w:color w:val="1B332B"/>
                <w:sz w:val="15"/>
              </w:rPr>
              <w:t xml:space="preserve"> </w:t>
            </w:r>
          </w:p>
          <w:p>
            <w:pPr>
              <w:spacing w:after="0" w:line="252" w:lineRule="auto"/>
            </w:pPr>
            <w:r>
              <w:rPr>
                <w:rFonts w:ascii="Consolas" w:hAnsi="Consolas"/>
                <w:color w:val="1B332B"/>
                <w:sz w:val="15"/>
              </w:rPr>
              <w:t>DECK STRUCTURE (16 slides)</w:t>
            </w:r>
          </w:p>
          <w:p>
            <w:pPr>
              <w:spacing w:after="0" w:line="252" w:lineRule="auto"/>
            </w:pPr>
            <w:r>
              <w:rPr>
                <w:rFonts w:ascii="Consolas" w:hAnsi="Consolas"/>
                <w:color w:val="1B332B"/>
                <w:sz w:val="15"/>
              </w:rPr>
              <w:t>1. Title: Telco Churn Intelligence / RetainIQ. Subtitle: explainable churn prediction and retention. Team names.</w:t>
            </w:r>
          </w:p>
          <w:p>
            <w:pPr>
              <w:spacing w:after="0" w:line="252" w:lineRule="auto"/>
            </w:pPr>
            <w:r>
              <w:rPr>
                <w:rFonts w:ascii="Consolas" w:hAnsi="Consolas"/>
                <w:color w:val="1B332B"/>
                <w:sz w:val="15"/>
              </w:rPr>
              <w:t>2. The business problem: churn reduces recurring revenue and raises acquisition cost; basic predictions do not explain or act.</w:t>
            </w:r>
          </w:p>
          <w:p>
            <w:pPr>
              <w:spacing w:after="0" w:line="252" w:lineRule="auto"/>
            </w:pPr>
            <w:r>
              <w:rPr>
                <w:rFonts w:ascii="Consolas" w:hAnsi="Consolas"/>
                <w:color w:val="1B332B"/>
                <w:sz w:val="15"/>
              </w:rPr>
              <w:t>3. Project objectives: predict, explain, prioritise and recommend.</w:t>
            </w:r>
          </w:p>
          <w:p>
            <w:pPr>
              <w:spacing w:after="0" w:line="252" w:lineRule="auto"/>
            </w:pPr>
            <w:r>
              <w:rPr>
                <w:rFonts w:ascii="Consolas" w:hAnsi="Consolas"/>
                <w:color w:val="1B332B"/>
                <w:sz w:val="15"/>
              </w:rPr>
              <w:t>4. Dataset at a glance: 7,043 customers, 21 columns, 26.5% churn, key attributes.</w:t>
            </w:r>
          </w:p>
          <w:p>
            <w:pPr>
              <w:spacing w:after="0" w:line="252" w:lineRule="auto"/>
            </w:pPr>
            <w:r>
              <w:rPr>
                <w:rFonts w:ascii="Consolas" w:hAnsi="Consolas"/>
                <w:color w:val="1B332B"/>
                <w:sz w:val="15"/>
              </w:rPr>
              <w:t>5. EDA story: contract, internet, payment and tenure insights (use 2-3 headline numbers).</w:t>
            </w:r>
          </w:p>
          <w:p>
            <w:pPr>
              <w:spacing w:after="0" w:line="252" w:lineRule="auto"/>
            </w:pPr>
            <w:r>
              <w:rPr>
                <w:rFonts w:ascii="Consolas" w:hAnsi="Consolas"/>
                <w:color w:val="1B332B"/>
                <w:sz w:val="15"/>
              </w:rPr>
              <w:t>6. Cleaning and feature engineering: TotalCharges semantic zeros, engineered features, withheld customerID.</w:t>
            </w:r>
          </w:p>
          <w:p>
            <w:pPr>
              <w:spacing w:after="0" w:line="252" w:lineRule="auto"/>
            </w:pPr>
            <w:r>
              <w:rPr>
                <w:rFonts w:ascii="Consolas" w:hAnsi="Consolas"/>
                <w:color w:val="1B332B"/>
                <w:sz w:val="15"/>
              </w:rPr>
              <w:t>7. Leak-free pipeline: train/test split, imputation, scaling, one-hot, pipeline inside CV.</w:t>
            </w:r>
          </w:p>
          <w:p>
            <w:pPr>
              <w:spacing w:after="0" w:line="252" w:lineRule="auto"/>
            </w:pPr>
            <w:r>
              <w:rPr>
                <w:rFonts w:ascii="Consolas" w:hAnsi="Consolas"/>
                <w:color w:val="1B332B"/>
                <w:sz w:val="15"/>
              </w:rPr>
              <w:t>8. Six models compared: why each family, 5-fold CV protocol, selection on ROC-AUC.</w:t>
            </w:r>
          </w:p>
          <w:p>
            <w:pPr>
              <w:spacing w:after="0" w:line="252" w:lineRule="auto"/>
            </w:pPr>
            <w:r>
              <w:rPr>
                <w:rFonts w:ascii="Consolas" w:hAnsi="Consolas"/>
                <w:color w:val="1B332B"/>
                <w:sz w:val="15"/>
              </w:rPr>
              <w:t>9. Results: CV table and held-out metrics; Logistic Regression selected; XGBoost close.</w:t>
            </w:r>
          </w:p>
          <w:p>
            <w:pPr>
              <w:spacing w:after="0" w:line="252" w:lineRule="auto"/>
            </w:pPr>
            <w:r>
              <w:rPr>
                <w:rFonts w:ascii="Consolas" w:hAnsi="Consolas"/>
                <w:color w:val="1B332B"/>
                <w:sz w:val="15"/>
              </w:rPr>
              <w:t>10. Threshold and confusion matrix: why 0.32; recall vs precision trade-off.</w:t>
            </w:r>
          </w:p>
          <w:p>
            <w:pPr>
              <w:spacing w:after="0" w:line="252" w:lineRule="auto"/>
            </w:pPr>
            <w:r>
              <w:rPr>
                <w:rFonts w:ascii="Consolas" w:hAnsi="Consolas"/>
                <w:color w:val="1B332B"/>
                <w:sz w:val="15"/>
              </w:rPr>
              <w:t>11. Explainability: SHAP global and local; show "tenure increases risk" and "month-to-month increases risk".</w:t>
            </w:r>
          </w:p>
          <w:p>
            <w:pPr>
              <w:spacing w:after="0" w:line="252" w:lineRule="auto"/>
            </w:pPr>
            <w:r>
              <w:rPr>
                <w:rFonts w:ascii="Consolas" w:hAnsi="Consolas"/>
                <w:color w:val="1B332B"/>
                <w:sz w:val="15"/>
              </w:rPr>
              <w:t>12. Risk scoring and business value: three bands, revenue at risk, CLV.</w:t>
            </w:r>
          </w:p>
          <w:p>
            <w:pPr>
              <w:spacing w:after="0" w:line="252" w:lineRule="auto"/>
            </w:pPr>
            <w:r>
              <w:rPr>
                <w:rFonts w:ascii="Consolas" w:hAnsi="Consolas"/>
                <w:color w:val="1B332B"/>
                <w:sz w:val="15"/>
              </w:rPr>
              <w:t>13. Personalised retention: 14-rule playbook; show three concrete examples.</w:t>
            </w:r>
          </w:p>
          <w:p>
            <w:pPr>
              <w:spacing w:after="0" w:line="252" w:lineRule="auto"/>
            </w:pPr>
            <w:r>
              <w:rPr>
                <w:rFonts w:ascii="Consolas" w:hAnsi="Consolas"/>
                <w:color w:val="1B332B"/>
                <w:sz w:val="15"/>
              </w:rPr>
              <w:t>14. System architecture and demo: FastAPI, model bundle, SQLite, dashboard pages; include a screenshot placeholder.</w:t>
            </w:r>
          </w:p>
          <w:p>
            <w:pPr>
              <w:spacing w:after="0" w:line="252" w:lineRule="auto"/>
            </w:pPr>
            <w:r>
              <w:rPr>
                <w:rFonts w:ascii="Consolas" w:hAnsi="Consolas"/>
                <w:color w:val="1B332B"/>
                <w:sz w:val="15"/>
              </w:rPr>
              <w:t>15. Testing, limitations and responsible use.</w:t>
            </w:r>
          </w:p>
          <w:p>
            <w:pPr>
              <w:spacing w:after="0" w:line="252" w:lineRule="auto"/>
            </w:pPr>
            <w:r>
              <w:rPr>
                <w:rFonts w:ascii="Consolas" w:hAnsi="Consolas"/>
                <w:color w:val="1B332B"/>
                <w:sz w:val="15"/>
              </w:rPr>
              <w:t>16. Conclusion, team contributions, Q&amp;A.</w:t>
            </w:r>
          </w:p>
          <w:p>
            <w:pPr>
              <w:spacing w:after="0" w:line="252" w:lineRule="auto"/>
            </w:pPr>
            <w:r>
              <w:rPr>
                <w:rFonts w:ascii="Consolas" w:hAnsi="Consolas"/>
                <w:color w:val="1B332B"/>
                <w:sz w:val="15"/>
              </w:rPr>
              <w:t xml:space="preserve"> </w:t>
            </w:r>
          </w:p>
          <w:p>
            <w:pPr>
              <w:spacing w:after="0" w:line="252" w:lineRule="auto"/>
            </w:pPr>
            <w:r>
              <w:rPr>
                <w:rFonts w:ascii="Consolas" w:hAnsi="Consolas"/>
                <w:color w:val="1B332B"/>
                <w:sz w:val="15"/>
              </w:rPr>
              <w:t>DESIGN SYSTEM</w:t>
            </w:r>
          </w:p>
          <w:p>
            <w:pPr>
              <w:spacing w:after="0" w:line="252" w:lineRule="auto"/>
            </w:pPr>
            <w:r>
              <w:rPr>
                <w:rFonts w:ascii="Consolas" w:hAnsi="Consolas"/>
                <w:color w:val="1B332B"/>
                <w:sz w:val="15"/>
              </w:rPr>
              <w:t>- 16:9 widescreen.</w:t>
            </w:r>
          </w:p>
          <w:p>
            <w:pPr>
              <w:spacing w:after="0" w:line="252" w:lineRule="auto"/>
            </w:pPr>
            <w:r>
              <w:rPr>
                <w:rFonts w:ascii="Consolas" w:hAnsi="Consolas"/>
                <w:color w:val="1B332B"/>
                <w:sz w:val="15"/>
              </w:rPr>
              <w:t>- Background: near-black #07100D with subtle dark-green radial/dot texture.</w:t>
            </w:r>
          </w:p>
          <w:p>
            <w:pPr>
              <w:spacing w:after="0" w:line="252" w:lineRule="auto"/>
            </w:pPr>
            <w:r>
              <w:rPr>
                <w:rFonts w:ascii="Consolas" w:hAnsi="Consolas"/>
                <w:color w:val="1B332B"/>
                <w:sz w:val="15"/>
              </w:rPr>
              <w:t>- Primary accent: mint green #2FF0A3; secondary: amber #F4B860 and coral #FF6379 for risk.</w:t>
            </w:r>
          </w:p>
          <w:p>
            <w:pPr>
              <w:spacing w:after="0" w:line="252" w:lineRule="auto"/>
            </w:pPr>
            <w:r>
              <w:rPr>
                <w:rFonts w:ascii="Consolas" w:hAnsi="Consolas"/>
                <w:color w:val="1B332B"/>
                <w:sz w:val="15"/>
              </w:rPr>
              <w:t>- Text: warm white #EAF8F2; muted #7D978D.</w:t>
            </w:r>
          </w:p>
          <w:p>
            <w:pPr>
              <w:spacing w:after="0" w:line="252" w:lineRule="auto"/>
            </w:pPr>
            <w:r>
              <w:rPr>
                <w:rFonts w:ascii="Consolas" w:hAnsi="Consolas"/>
                <w:color w:val="1B332B"/>
                <w:sz w:val="15"/>
              </w:rPr>
              <w:t>- Font: Inter or Calibri fallback; bold headings, generous whitespace.</w:t>
            </w:r>
          </w:p>
          <w:p>
            <w:pPr>
              <w:spacing w:after="0" w:line="252" w:lineRule="auto"/>
            </w:pPr>
            <w:r>
              <w:rPr>
                <w:rFonts w:ascii="Consolas" w:hAnsi="Consolas"/>
                <w:color w:val="1B332B"/>
                <w:sz w:val="15"/>
              </w:rPr>
              <w:t>- Use thin 1px borders and rounded rectangles; no gradients on text except the title accent.</w:t>
            </w:r>
          </w:p>
          <w:p>
            <w:pPr>
              <w:spacing w:after="0" w:line="252" w:lineRule="auto"/>
            </w:pPr>
            <w:r>
              <w:rPr>
                <w:rFonts w:ascii="Consolas" w:hAnsi="Consolas"/>
                <w:color w:val="1B332B"/>
                <w:sz w:val="15"/>
              </w:rPr>
              <w:t>- Charts: mint bars/curves on dark grid; label axes and values; avoid 3D charts.</w:t>
            </w:r>
          </w:p>
          <w:p>
            <w:pPr>
              <w:spacing w:after="0" w:line="252" w:lineRule="auto"/>
            </w:pPr>
            <w:r>
              <w:rPr>
                <w:rFonts w:ascii="Consolas" w:hAnsi="Consolas"/>
                <w:color w:val="1B332B"/>
                <w:sz w:val="15"/>
              </w:rPr>
              <w:t>- Each slide: a small section label, a large takeaway headline (not just a topic label), one visual, 3-5 short bullets, and a source footnote.</w:t>
            </w:r>
          </w:p>
          <w:p>
            <w:pPr>
              <w:spacing w:after="0" w:line="252" w:lineRule="auto"/>
            </w:pPr>
            <w:r>
              <w:rPr>
                <w:rFonts w:ascii="Consolas" w:hAnsi="Consolas"/>
                <w:color w:val="1B332B"/>
                <w:sz w:val="15"/>
              </w:rPr>
              <w:t>- Use simple shapes/Unicode symbols as icons; do not download paid icons.</w:t>
            </w:r>
          </w:p>
          <w:p>
            <w:pPr>
              <w:spacing w:after="0" w:line="252" w:lineRule="auto"/>
            </w:pPr>
            <w:r>
              <w:rPr>
                <w:rFonts w:ascii="Consolas" w:hAnsi="Consolas"/>
                <w:color w:val="1B332B"/>
                <w:sz w:val="15"/>
              </w:rPr>
              <w:t xml:space="preserve"> </w:t>
            </w:r>
          </w:p>
          <w:p>
            <w:pPr>
              <w:spacing w:after="0" w:line="252" w:lineRule="auto"/>
            </w:pPr>
            <w:r>
              <w:rPr>
                <w:rFonts w:ascii="Consolas" w:hAnsi="Consolas"/>
                <w:color w:val="1B332B"/>
                <w:sz w:val="15"/>
              </w:rPr>
              <w:t>SPEAKER NOTES</w:t>
            </w:r>
          </w:p>
          <w:p>
            <w:pPr>
              <w:spacing w:after="0" w:line="252" w:lineRule="auto"/>
            </w:pPr>
            <w:r>
              <w:rPr>
                <w:rFonts w:ascii="Consolas" w:hAnsi="Consolas"/>
                <w:color w:val="1B332B"/>
                <w:sz w:val="15"/>
              </w:rPr>
              <w:t>For every slide include 60-110 words of speaker notes written in a confident student-presenter voice. Include one likely examiner question and a one-line answer in the notes for slides 8-14.</w:t>
            </w:r>
          </w:p>
          <w:p>
            <w:pPr>
              <w:spacing w:after="0" w:line="252" w:lineRule="auto"/>
            </w:pPr>
            <w:r>
              <w:rPr>
                <w:rFonts w:ascii="Consolas" w:hAnsi="Consolas"/>
                <w:color w:val="1B332B"/>
                <w:sz w:val="15"/>
              </w:rPr>
              <w:t xml:space="preserve"> </w:t>
            </w:r>
          </w:p>
          <w:p>
            <w:pPr>
              <w:spacing w:after="0" w:line="252" w:lineRule="auto"/>
            </w:pPr>
            <w:r>
              <w:rPr>
                <w:rFonts w:ascii="Consolas" w:hAnsi="Consolas"/>
                <w:color w:val="1B332B"/>
                <w:sz w:val="15"/>
              </w:rPr>
              <w:t>DELIVERABLE</w:t>
            </w:r>
          </w:p>
          <w:p>
            <w:pPr>
              <w:spacing w:after="0" w:line="252" w:lineRule="auto"/>
            </w:pPr>
            <w:r>
              <w:rPr>
                <w:rFonts w:ascii="Consolas" w:hAnsi="Consolas"/>
                <w:color w:val="1B332B"/>
                <w:sz w:val="15"/>
              </w:rPr>
              <w:t>1. The complete python-pptx script (one code block), with a `main()` and `if __name__ == "__main__":`.</w:t>
            </w:r>
          </w:p>
          <w:p>
            <w:pPr>
              <w:spacing w:after="0" w:line="252" w:lineRule="auto"/>
            </w:pPr>
            <w:r>
              <w:rPr>
                <w:rFonts w:ascii="Consolas" w:hAnsi="Consolas"/>
                <w:color w:val="1B332B"/>
                <w:sz w:val="15"/>
              </w:rPr>
              <w:t>2. The install command: `pip install python-pptx`.</w:t>
            </w:r>
          </w:p>
          <w:p>
            <w:pPr>
              <w:spacing w:after="0" w:line="252" w:lineRule="auto"/>
            </w:pPr>
            <w:r>
              <w:rPr>
                <w:rFonts w:ascii="Consolas" w:hAnsi="Consolas"/>
                <w:color w:val="1B332B"/>
                <w:sz w:val="15"/>
              </w:rPr>
              <w:t>3. A short README block explaining how to run it and where the .pptx is saved.</w:t>
            </w:r>
          </w:p>
          <w:p>
            <w:pPr>
              <w:spacing w:after="0" w:line="252" w:lineRule="auto"/>
            </w:pPr>
            <w:r>
              <w:rPr>
                <w:rFonts w:ascii="Consolas" w:hAnsi="Consolas"/>
                <w:color w:val="1B332B"/>
                <w:sz w:val="15"/>
              </w:rPr>
              <w:t>4. A one-page handout outline with the 10 most important facts.</w:t>
            </w:r>
          </w:p>
          <w:p>
            <w:pPr>
              <w:spacing w:after="0" w:line="252" w:lineRule="auto"/>
            </w:pPr>
            <w:r>
              <w:rPr>
                <w:rFonts w:ascii="Consolas" w:hAnsi="Consolas"/>
                <w:color w:val="1B332B"/>
                <w:sz w:val="15"/>
              </w:rPr>
              <w:t>5. Do not use Markdown tables inside slides; build tables with python-pptx shapes.</w:t>
            </w:r>
          </w:p>
          <w:p>
            <w:pPr>
              <w:spacing w:after="0" w:line="252" w:lineRule="auto"/>
            </w:pPr>
            <w:r>
              <w:rPr>
                <w:rFonts w:ascii="Consolas" w:hAnsi="Consolas"/>
                <w:color w:val="1B332B"/>
                <w:sz w:val="15"/>
              </w:rPr>
              <w:t>Return only the final script and the short instructions.</w:t>
            </w:r>
          </w:p>
        </w:tc>
      </w:tr>
    </w:tbl>
    <w:p>
      <w:pPr>
        <w:spacing w:after="40"/>
      </w:pPr>
    </w:p>
    <w:tbl>
      <w:tblPr>
        <w:tblW w:type="auto" w:w="0"/>
        <w:jc w:val="center"/>
        <w:tblLook w:firstColumn="1" w:firstRow="1" w:lastColumn="0" w:lastRow="0" w:noHBand="0" w:noVBand="1" w:val="04A0"/>
        <w:tblBorders>
          <w:top w:val="single" w:sz="6" w:space="0" w:color="BFE8D5"/>
          <w:left w:val="single" w:sz="6" w:space="0" w:color="BFE8D5"/>
          <w:bottom w:val="single" w:sz="6" w:space="0" w:color="BFE8D5"/>
          <w:right w:val="single" w:sz="6" w:space="0" w:color="BFE8D5"/>
          <w:insideH w:val="single" w:sz="6" w:space="0" w:color="BFE8D5"/>
          <w:insideV w:val="single" w:sz="6" w:space="0" w:color="BFE8D5"/>
        </w:tblBorders>
      </w:tblPr>
      <w:tblGrid>
        <w:gridCol w:w="9638"/>
      </w:tblGrid>
      <w:tr>
        <w:tc>
          <w:tcPr>
            <w:tcW w:type="dxa" w:w="9638"/>
            <w:shd w:val="clear" w:color="auto" w:fill="F1FAF6"/>
            <w:tcMar>
              <w:top w:w="130" w:type="dxa"/>
              <w:bottom w:w="130" w:type="dxa"/>
              <w:start w:w="170" w:type="dxa"/>
              <w:end w:w="170" w:type="dxa"/>
            </w:tcMar>
          </w:tcPr>
          <w:p>
            <w:pPr>
              <w:spacing w:after="60"/>
            </w:pPr>
            <w:r>
              <w:rPr>
                <w:b/>
                <w:color w:val="0EA96F"/>
                <w:sz w:val="19"/>
              </w:rPr>
              <w:t>How to use it</w:t>
            </w:r>
          </w:p>
          <w:p>
            <w:pPr>
              <w:spacing w:after="0" w:line="288" w:lineRule="auto"/>
            </w:pPr>
            <w:r>
              <w:rPr>
                <w:color w:val="0B1F1A"/>
                <w:sz w:val="18"/>
              </w:rPr>
              <w:t>Paste the prompt into Claude. Ask Claude to run or return the python-pptx script. Save the script as make_deck.py, run `pip install python-pptx`, then `python make_deck.py`. The result is a fully editable .pptx. No login, subscription or paid asset is required. If Claude cannot run code, it will still return the script and speaker notes for you to run locally.</w:t>
            </w:r>
          </w:p>
        </w:tc>
      </w:tr>
    </w:tbl>
    <w:p>
      <w:pPr>
        <w:spacing w:after="40"/>
      </w:pPr>
    </w:p>
    <w:p>
      <w:pPr>
        <w:pStyle w:val="Heading2"/>
        <w:keepNext/>
        <w:spacing w:before="180" w:after="100"/>
      </w:pPr>
      <w:r>
        <w:t>17.2 Presentation tips</w:t>
      </w:r>
    </w:p>
    <w:p>
      <w:pPr>
        <w:pStyle w:val="ListBullet"/>
        <w:spacing w:after="60"/>
      </w:pPr>
      <w:r>
        <w:t>Rehearse the 10-minute flow, not the whole document. The demo script in section 15.1 is the spine.</w:t>
      </w:r>
    </w:p>
    <w:p>
      <w:pPr>
        <w:pStyle w:val="ListBullet"/>
        <w:spacing w:after="60"/>
      </w:pPr>
      <w:r>
        <w:t>Lead with the business problem and the result, then explain the method; examiners remember the story.</w:t>
      </w:r>
    </w:p>
    <w:p>
      <w:pPr>
        <w:pStyle w:val="ListBullet"/>
        <w:spacing w:after="60"/>
      </w:pPr>
      <w:r>
        <w:t>Show one customer end to end: score → driver → playbook → saved action.</w:t>
      </w:r>
    </w:p>
    <w:p>
      <w:pPr>
        <w:pStyle w:val="ListBullet"/>
        <w:spacing w:after="60"/>
      </w:pPr>
      <w:r>
        <w:t>Be explicit about limitations: SHAP is not causality and the recommendations are heuristics.</w:t>
      </w:r>
    </w:p>
    <w:p>
      <w:pPr>
        <w:pStyle w:val="ListBullet"/>
        <w:spacing w:after="60"/>
      </w:pPr>
      <w:r>
        <w:t>Keep the live demo on a local server; have screenshots ready as a fallback.</w:t>
      </w:r>
    </w:p>
    <w:p>
      <w:r>
        <w:br w:type="page"/>
      </w:r>
    </w:p>
    <w:p>
      <w:pPr>
        <w:pStyle w:val="Heading1"/>
        <w:keepNext/>
        <w:spacing w:before="240" w:after="100"/>
      </w:pPr>
      <w:r>
        <w:t>18. Glossary</w:t>
      </w:r>
    </w:p>
    <w:tbl>
      <w:tblPr>
        <w:tblW w:type="auto" w:w="0"/>
        <w:jc w:val="center"/>
        <w:tblLayout w:type="fixed"/>
        <w:tblLook w:firstColumn="1" w:firstRow="1" w:lastColumn="0" w:lastRow="0" w:noHBand="0" w:noVBand="1" w:val="04A0"/>
        <w:tblBorders>
          <w:top w:val="single" w:sz="4" w:space="0" w:color="D7E5DE"/>
          <w:left w:val="single" w:sz="4" w:space="0" w:color="D7E5DE"/>
          <w:bottom w:val="single" w:sz="4" w:space="0" w:color="D7E5DE"/>
          <w:right w:val="single" w:sz="4" w:space="0" w:color="D7E5DE"/>
          <w:insideH w:val="single" w:sz="4" w:space="0" w:color="D7E5DE"/>
          <w:insideV w:val="single" w:sz="4" w:space="0" w:color="D7E5DE"/>
        </w:tblBorders>
      </w:tblPr>
      <w:tblGrid>
        <w:gridCol w:w="4819"/>
        <w:gridCol w:w="4819"/>
      </w:tblGrid>
      <w:tr>
        <w:trPr>
          <w:tblHeader w:val="true"/>
        </w:trPr>
        <w:tc>
          <w:tcPr>
            <w:tcW w:type="dxa" w:w="2376"/>
            <w:shd w:val="clear" w:color="auto" w:fill="0B3B2E"/>
            <w:tcMar>
              <w:top w:w="70" w:type="dxa"/>
              <w:bottom w:w="70" w:type="dxa"/>
              <w:start w:w="90" w:type="dxa"/>
              <w:end w:w="90" w:type="dxa"/>
            </w:tcMar>
          </w:tcPr>
          <w:p>
            <w:pPr>
              <w:spacing w:after="0"/>
            </w:pPr>
            <w:r>
              <w:rPr>
                <w:rFonts w:ascii="Calibri" w:hAnsi="Calibri"/>
                <w:b/>
                <w:color w:val="FFFFFF"/>
                <w:sz w:val="16"/>
              </w:rPr>
              <w:t>Term</w:t>
            </w:r>
          </w:p>
        </w:tc>
        <w:tc>
          <w:tcPr>
            <w:tcW w:type="dxa" w:w="7272"/>
            <w:shd w:val="clear" w:color="auto" w:fill="0B3B2E"/>
            <w:tcMar>
              <w:top w:w="70" w:type="dxa"/>
              <w:bottom w:w="70" w:type="dxa"/>
              <w:start w:w="90" w:type="dxa"/>
              <w:end w:w="90" w:type="dxa"/>
            </w:tcMar>
          </w:tcPr>
          <w:p>
            <w:pPr>
              <w:spacing w:after="0"/>
            </w:pPr>
            <w:r>
              <w:rPr>
                <w:rFonts w:ascii="Calibri" w:hAnsi="Calibri"/>
                <w:b/>
                <w:color w:val="FFFFFF"/>
                <w:sz w:val="16"/>
              </w:rPr>
              <w:t>Definition</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Churn</w:t>
            </w:r>
          </w:p>
        </w:tc>
        <w:tc>
          <w:tcPr>
            <w:tcW w:type="dxa" w:w="7272"/>
            <w:tcMar>
              <w:top w:w="70" w:type="dxa"/>
              <w:bottom w:w="70" w:type="dxa"/>
              <w:start w:w="90" w:type="dxa"/>
              <w:end w:w="90" w:type="dxa"/>
            </w:tcMar>
          </w:tcPr>
          <w:p>
            <w:pPr>
              <w:spacing w:after="0" w:line="252" w:lineRule="auto"/>
            </w:pPr>
            <w:r>
              <w:rPr>
                <w:rFonts w:ascii="Calibri" w:hAnsi="Calibri"/>
                <w:color w:val="0B1F1A"/>
                <w:sz w:val="16"/>
              </w:rPr>
              <w:t>Loss of an existing customer through cancellation or non-renewal.</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Churn rate</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Share of customers who churn in a period; here 26.5%.</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Binary classification</w:t>
            </w:r>
          </w:p>
        </w:tc>
        <w:tc>
          <w:tcPr>
            <w:tcW w:type="dxa" w:w="7272"/>
            <w:tcMar>
              <w:top w:w="70" w:type="dxa"/>
              <w:bottom w:w="70" w:type="dxa"/>
              <w:start w:w="90" w:type="dxa"/>
              <w:end w:w="90" w:type="dxa"/>
            </w:tcMar>
          </w:tcPr>
          <w:p>
            <w:pPr>
              <w:spacing w:after="0" w:line="252" w:lineRule="auto"/>
            </w:pPr>
            <w:r>
              <w:rPr>
                <w:rFonts w:ascii="Calibri" w:hAnsi="Calibri"/>
                <w:color w:val="0B1F1A"/>
                <w:sz w:val="16"/>
              </w:rPr>
              <w:t>Predicting one of two classes, e.g. churn vs stay.</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Feature</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An input variable used by the model.</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Target</w:t>
            </w:r>
          </w:p>
        </w:tc>
        <w:tc>
          <w:tcPr>
            <w:tcW w:type="dxa" w:w="7272"/>
            <w:tcMar>
              <w:top w:w="70" w:type="dxa"/>
              <w:bottom w:w="70" w:type="dxa"/>
              <w:start w:w="90" w:type="dxa"/>
              <w:end w:w="90" w:type="dxa"/>
            </w:tcMar>
          </w:tcPr>
          <w:p>
            <w:pPr>
              <w:spacing w:after="0" w:line="252" w:lineRule="auto"/>
            </w:pPr>
            <w:r>
              <w:rPr>
                <w:rFonts w:ascii="Calibri" w:hAnsi="Calibri"/>
                <w:color w:val="0B1F1A"/>
                <w:sz w:val="16"/>
              </w:rPr>
              <w:t>The label the model learns to predict; Churn 1/0.</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Train/test split</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Partition of data into fitting and final evaluation sets.</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Stratified split</w:t>
            </w:r>
          </w:p>
        </w:tc>
        <w:tc>
          <w:tcPr>
            <w:tcW w:type="dxa" w:w="7272"/>
            <w:tcMar>
              <w:top w:w="70" w:type="dxa"/>
              <w:bottom w:w="70" w:type="dxa"/>
              <w:start w:w="90" w:type="dxa"/>
              <w:end w:w="90" w:type="dxa"/>
            </w:tcMar>
          </w:tcPr>
          <w:p>
            <w:pPr>
              <w:spacing w:after="0" w:line="252" w:lineRule="auto"/>
            </w:pPr>
            <w:r>
              <w:rPr>
                <w:rFonts w:ascii="Calibri" w:hAnsi="Calibri"/>
                <w:color w:val="0B1F1A"/>
                <w:sz w:val="16"/>
              </w:rPr>
              <w:t>Split that preserves the class ratio in both parts.</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Cross-validation</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Repeated train/validation splits to estimate generalisation.</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Stratified K-fold</w:t>
            </w:r>
          </w:p>
        </w:tc>
        <w:tc>
          <w:tcPr>
            <w:tcW w:type="dxa" w:w="7272"/>
            <w:tcMar>
              <w:top w:w="70" w:type="dxa"/>
              <w:bottom w:w="70" w:type="dxa"/>
              <w:start w:w="90" w:type="dxa"/>
              <w:end w:w="90" w:type="dxa"/>
            </w:tcMar>
          </w:tcPr>
          <w:p>
            <w:pPr>
              <w:spacing w:after="0" w:line="252" w:lineRule="auto"/>
            </w:pPr>
            <w:r>
              <w:rPr>
                <w:rFonts w:ascii="Calibri" w:hAnsi="Calibri"/>
                <w:color w:val="0B1F1A"/>
                <w:sz w:val="16"/>
              </w:rPr>
              <w:t>K-fold CV that preserves class balance in each fold.</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Data leakage</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Using information unavailable at prediction time, inflating scores.</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Imputation</w:t>
            </w:r>
          </w:p>
        </w:tc>
        <w:tc>
          <w:tcPr>
            <w:tcW w:type="dxa" w:w="7272"/>
            <w:tcMar>
              <w:top w:w="70" w:type="dxa"/>
              <w:bottom w:w="70" w:type="dxa"/>
              <w:start w:w="90" w:type="dxa"/>
              <w:end w:w="90" w:type="dxa"/>
            </w:tcMar>
          </w:tcPr>
          <w:p>
            <w:pPr>
              <w:spacing w:after="0" w:line="252" w:lineRule="auto"/>
            </w:pPr>
            <w:r>
              <w:rPr>
                <w:rFonts w:ascii="Calibri" w:hAnsi="Calibri"/>
                <w:color w:val="0B1F1A"/>
                <w:sz w:val="16"/>
              </w:rPr>
              <w:t>Filling missing values; median for numeric, most-frequent for categorical.</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Standardisation</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Scaling features to zero mean and unit variance.</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One-hot encoding</w:t>
            </w:r>
          </w:p>
        </w:tc>
        <w:tc>
          <w:tcPr>
            <w:tcW w:type="dxa" w:w="7272"/>
            <w:tcMar>
              <w:top w:w="70" w:type="dxa"/>
              <w:bottom w:w="70" w:type="dxa"/>
              <w:start w:w="90" w:type="dxa"/>
              <w:end w:w="90" w:type="dxa"/>
            </w:tcMar>
          </w:tcPr>
          <w:p>
            <w:pPr>
              <w:spacing w:after="0" w:line="252" w:lineRule="auto"/>
            </w:pPr>
            <w:r>
              <w:rPr>
                <w:rFonts w:ascii="Calibri" w:hAnsi="Calibri"/>
                <w:color w:val="0B1F1A"/>
                <w:sz w:val="16"/>
              </w:rPr>
              <w:t>Representing a categorical variable as binary indicator columns.</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Class imbalance</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Unequal class frequencies; churn is the minority class.</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Overfitting</w:t>
            </w:r>
          </w:p>
        </w:tc>
        <w:tc>
          <w:tcPr>
            <w:tcW w:type="dxa" w:w="7272"/>
            <w:tcMar>
              <w:top w:w="70" w:type="dxa"/>
              <w:bottom w:w="70" w:type="dxa"/>
              <w:start w:w="90" w:type="dxa"/>
              <w:end w:w="90" w:type="dxa"/>
            </w:tcMar>
          </w:tcPr>
          <w:p>
            <w:pPr>
              <w:spacing w:after="0" w:line="252" w:lineRule="auto"/>
            </w:pPr>
            <w:r>
              <w:rPr>
                <w:rFonts w:ascii="Calibri" w:hAnsi="Calibri"/>
                <w:color w:val="0B1F1A"/>
                <w:sz w:val="16"/>
              </w:rPr>
              <w:t>Learning noise in the training data and failing to generalise.</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Hyperparameter</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A model setting chosen before fitting, e.g. tree depth.</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ROC curve</w:t>
            </w:r>
          </w:p>
        </w:tc>
        <w:tc>
          <w:tcPr>
            <w:tcW w:type="dxa" w:w="7272"/>
            <w:tcMar>
              <w:top w:w="70" w:type="dxa"/>
              <w:bottom w:w="70" w:type="dxa"/>
              <w:start w:w="90" w:type="dxa"/>
              <w:end w:w="90" w:type="dxa"/>
            </w:tcMar>
          </w:tcPr>
          <w:p>
            <w:pPr>
              <w:spacing w:after="0" w:line="252" w:lineRule="auto"/>
            </w:pPr>
            <w:r>
              <w:rPr>
                <w:rFonts w:ascii="Calibri" w:hAnsi="Calibri"/>
                <w:color w:val="0B1F1A"/>
                <w:sz w:val="16"/>
              </w:rPr>
              <w:t>True-positive rate vs false-positive rate across thresholds.</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ROC-AUC</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Area under the ROC curve; probability of ranking a churner above a stayer.</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PR curve</w:t>
            </w:r>
          </w:p>
        </w:tc>
        <w:tc>
          <w:tcPr>
            <w:tcW w:type="dxa" w:w="7272"/>
            <w:tcMar>
              <w:top w:w="70" w:type="dxa"/>
              <w:bottom w:w="70" w:type="dxa"/>
              <w:start w:w="90" w:type="dxa"/>
              <w:end w:w="90" w:type="dxa"/>
            </w:tcMar>
          </w:tcPr>
          <w:p>
            <w:pPr>
              <w:spacing w:after="0" w:line="252" w:lineRule="auto"/>
            </w:pPr>
            <w:r>
              <w:rPr>
                <w:rFonts w:ascii="Calibri" w:hAnsi="Calibri"/>
                <w:color w:val="0B1F1A"/>
                <w:sz w:val="16"/>
              </w:rPr>
              <w:t>Precision vs recall across thresholds.</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PR-AUC</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Area under the precision–recall curve.</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Precision</w:t>
            </w:r>
          </w:p>
        </w:tc>
        <w:tc>
          <w:tcPr>
            <w:tcW w:type="dxa" w:w="7272"/>
            <w:tcMar>
              <w:top w:w="70" w:type="dxa"/>
              <w:bottom w:w="70" w:type="dxa"/>
              <w:start w:w="90" w:type="dxa"/>
              <w:end w:w="90" w:type="dxa"/>
            </w:tcMar>
          </w:tcPr>
          <w:p>
            <w:pPr>
              <w:spacing w:after="0" w:line="252" w:lineRule="auto"/>
            </w:pPr>
            <w:r>
              <w:rPr>
                <w:rFonts w:ascii="Calibri" w:hAnsi="Calibri"/>
                <w:color w:val="0B1F1A"/>
                <w:sz w:val="16"/>
              </w:rPr>
              <w:t>Of predicted churners, the share that truly churn.</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Recall</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Of actual churners, the share the model catches.</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F1 score</w:t>
            </w:r>
          </w:p>
        </w:tc>
        <w:tc>
          <w:tcPr>
            <w:tcW w:type="dxa" w:w="7272"/>
            <w:tcMar>
              <w:top w:w="70" w:type="dxa"/>
              <w:bottom w:w="70" w:type="dxa"/>
              <w:start w:w="90" w:type="dxa"/>
              <w:end w:w="90" w:type="dxa"/>
            </w:tcMar>
          </w:tcPr>
          <w:p>
            <w:pPr>
              <w:spacing w:after="0" w:line="252" w:lineRule="auto"/>
            </w:pPr>
            <w:r>
              <w:rPr>
                <w:rFonts w:ascii="Calibri" w:hAnsi="Calibri"/>
                <w:color w:val="0B1F1A"/>
                <w:sz w:val="16"/>
              </w:rPr>
              <w:t>Harmonic mean of precision and recall.</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Brier score</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Mean squared error of probability predictions.</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Calibration</w:t>
            </w:r>
          </w:p>
        </w:tc>
        <w:tc>
          <w:tcPr>
            <w:tcW w:type="dxa" w:w="7272"/>
            <w:tcMar>
              <w:top w:w="70" w:type="dxa"/>
              <w:bottom w:w="70" w:type="dxa"/>
              <w:start w:w="90" w:type="dxa"/>
              <w:end w:w="90" w:type="dxa"/>
            </w:tcMar>
          </w:tcPr>
          <w:p>
            <w:pPr>
              <w:spacing w:after="0" w:line="252" w:lineRule="auto"/>
            </w:pPr>
            <w:r>
              <w:rPr>
                <w:rFonts w:ascii="Calibri" w:hAnsi="Calibri"/>
                <w:color w:val="0B1F1A"/>
                <w:sz w:val="16"/>
              </w:rPr>
              <w:t>Agreement between predicted probabilities and observed frequencies.</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Decision threshold</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Probability cut-off used to convert a score into a class.</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SHAP</w:t>
            </w:r>
          </w:p>
        </w:tc>
        <w:tc>
          <w:tcPr>
            <w:tcW w:type="dxa" w:w="7272"/>
            <w:tcMar>
              <w:top w:w="70" w:type="dxa"/>
              <w:bottom w:w="70" w:type="dxa"/>
              <w:start w:w="90" w:type="dxa"/>
              <w:end w:w="90" w:type="dxa"/>
            </w:tcMar>
          </w:tcPr>
          <w:p>
            <w:pPr>
              <w:spacing w:after="0" w:line="252" w:lineRule="auto"/>
            </w:pPr>
            <w:r>
              <w:rPr>
                <w:rFonts w:ascii="Calibri" w:hAnsi="Calibri"/>
                <w:color w:val="0B1F1A"/>
                <w:sz w:val="16"/>
              </w:rPr>
              <w:t>Shapley-value attribution of a prediction to its features.</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Coefficient</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Log-odds weight of a feature in a linear model.</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Feature importance</w:t>
            </w:r>
          </w:p>
        </w:tc>
        <w:tc>
          <w:tcPr>
            <w:tcW w:type="dxa" w:w="7272"/>
            <w:tcMar>
              <w:top w:w="70" w:type="dxa"/>
              <w:bottom w:w="70" w:type="dxa"/>
              <w:start w:w="90" w:type="dxa"/>
              <w:end w:w="90" w:type="dxa"/>
            </w:tcMar>
          </w:tcPr>
          <w:p>
            <w:pPr>
              <w:spacing w:after="0" w:line="252" w:lineRule="auto"/>
            </w:pPr>
            <w:r>
              <w:rPr>
                <w:rFonts w:ascii="Calibri" w:hAnsi="Calibri"/>
                <w:color w:val="0B1F1A"/>
                <w:sz w:val="16"/>
              </w:rPr>
              <w:t>Native tree measure of how useful a feature is for splits.</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Risk band</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Business grouping of probabilities: low, medium, high.</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CLV</w:t>
            </w:r>
          </w:p>
        </w:tc>
        <w:tc>
          <w:tcPr>
            <w:tcW w:type="dxa" w:w="7272"/>
            <w:tcMar>
              <w:top w:w="70" w:type="dxa"/>
              <w:bottom w:w="70" w:type="dxa"/>
              <w:start w:w="90" w:type="dxa"/>
              <w:end w:w="90" w:type="dxa"/>
            </w:tcMar>
          </w:tcPr>
          <w:p>
            <w:pPr>
              <w:spacing w:after="0" w:line="252" w:lineRule="auto"/>
            </w:pPr>
            <w:r>
              <w:rPr>
                <w:rFonts w:ascii="Calibri" w:hAnsi="Calibri"/>
                <w:color w:val="0B1F1A"/>
                <w:sz w:val="16"/>
              </w:rPr>
              <w:t>Customer lifetime value; expected revenue from a customer over time.</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Uplift</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Causal effect of an intervention on retention, not just churn risk.</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SQLite</w:t>
            </w:r>
          </w:p>
        </w:tc>
        <w:tc>
          <w:tcPr>
            <w:tcW w:type="dxa" w:w="7272"/>
            <w:tcMar>
              <w:top w:w="70" w:type="dxa"/>
              <w:bottom w:w="70" w:type="dxa"/>
              <w:start w:w="90" w:type="dxa"/>
              <w:end w:w="90" w:type="dxa"/>
            </w:tcMar>
          </w:tcPr>
          <w:p>
            <w:pPr>
              <w:spacing w:after="0" w:line="252" w:lineRule="auto"/>
            </w:pPr>
            <w:r>
              <w:rPr>
                <w:rFonts w:ascii="Calibri" w:hAnsi="Calibri"/>
                <w:color w:val="0B1F1A"/>
                <w:sz w:val="16"/>
              </w:rPr>
              <w:t>Embedded, serverless SQL database included with Python.</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FastAPI</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Python web framework used for the prediction API.</w:t>
            </w:r>
          </w:p>
        </w:tc>
      </w:tr>
      <w:tr>
        <w:tc>
          <w:tcPr>
            <w:tcW w:type="dxa" w:w="2376"/>
            <w:tcMar>
              <w:top w:w="70" w:type="dxa"/>
              <w:bottom w:w="70" w:type="dxa"/>
              <w:start w:w="90" w:type="dxa"/>
              <w:end w:w="90" w:type="dxa"/>
            </w:tcMar>
          </w:tcPr>
          <w:p>
            <w:pPr>
              <w:spacing w:after="0" w:line="252" w:lineRule="auto"/>
            </w:pPr>
            <w:r>
              <w:rPr>
                <w:rFonts w:ascii="Calibri" w:hAnsi="Calibri"/>
                <w:color w:val="0B1F1A"/>
                <w:sz w:val="16"/>
              </w:rPr>
              <w:t>WAL</w:t>
            </w:r>
          </w:p>
        </w:tc>
        <w:tc>
          <w:tcPr>
            <w:tcW w:type="dxa" w:w="7272"/>
            <w:tcMar>
              <w:top w:w="70" w:type="dxa"/>
              <w:bottom w:w="70" w:type="dxa"/>
              <w:start w:w="90" w:type="dxa"/>
              <w:end w:w="90" w:type="dxa"/>
            </w:tcMar>
          </w:tcPr>
          <w:p>
            <w:pPr>
              <w:spacing w:after="0" w:line="252" w:lineRule="auto"/>
            </w:pPr>
            <w:r>
              <w:rPr>
                <w:rFonts w:ascii="Calibri" w:hAnsi="Calibri"/>
                <w:color w:val="0B1F1A"/>
                <w:sz w:val="16"/>
              </w:rPr>
              <w:t>Write-ahead logging; a SQLite journal mode that improves concurrency.</w:t>
            </w:r>
          </w:p>
        </w:tc>
      </w:tr>
      <w:tr>
        <w:tc>
          <w:tcPr>
            <w:tcW w:type="dxa" w:w="2376"/>
            <w:tcMar>
              <w:top w:w="70" w:type="dxa"/>
              <w:bottom w:w="70" w:type="dxa"/>
              <w:start w:w="90" w:type="dxa"/>
              <w:end w:w="90" w:type="dxa"/>
            </w:tcMar>
            <w:shd w:val="clear" w:color="auto" w:fill="F5FAF8"/>
          </w:tcPr>
          <w:p>
            <w:pPr>
              <w:spacing w:after="0" w:line="252" w:lineRule="auto"/>
            </w:pPr>
            <w:r>
              <w:rPr>
                <w:rFonts w:ascii="Calibri" w:hAnsi="Calibri"/>
                <w:color w:val="0B1F1A"/>
                <w:sz w:val="16"/>
              </w:rPr>
              <w:t>Audit trail</w:t>
            </w:r>
          </w:p>
        </w:tc>
        <w:tc>
          <w:tcPr>
            <w:tcW w:type="dxa" w:w="7272"/>
            <w:tcMar>
              <w:top w:w="70" w:type="dxa"/>
              <w:bottom w:w="70" w:type="dxa"/>
              <w:start w:w="90" w:type="dxa"/>
              <w:end w:w="90" w:type="dxa"/>
            </w:tcMar>
            <w:shd w:val="clear" w:color="auto" w:fill="F5FAF8"/>
          </w:tcPr>
          <w:p>
            <w:pPr>
              <w:spacing w:after="0" w:line="252" w:lineRule="auto"/>
            </w:pPr>
            <w:r>
              <w:rPr>
                <w:rFonts w:ascii="Calibri" w:hAnsi="Calibri"/>
                <w:color w:val="0B1F1A"/>
                <w:sz w:val="16"/>
              </w:rPr>
              <w:t>Chronological record of predictions and decisions for review.</w:t>
            </w:r>
          </w:p>
        </w:tc>
      </w:tr>
    </w:tbl>
    <w:p>
      <w:pPr>
        <w:spacing w:after="40"/>
      </w:pPr>
    </w:p>
    <w:p>
      <w:r>
        <w:br w:type="page"/>
      </w:r>
    </w:p>
    <w:p>
      <w:pPr>
        <w:pStyle w:val="Heading1"/>
        <w:keepNext/>
        <w:spacing w:before="240" w:after="100"/>
      </w:pPr>
      <w:r>
        <w:t>19. References</w:t>
      </w:r>
    </w:p>
    <w:p>
      <w:pPr>
        <w:spacing w:after="80"/>
      </w:pPr>
      <w:r>
        <w:rPr>
          <w:b/>
          <w:color w:val="0EA96F"/>
        </w:rPr>
        <w:t xml:space="preserve">[1] </w:t>
      </w:r>
      <w:r>
        <w:t>IBM. Telco Customer Churn dataset. Kaggle: blastchar/telco-customer-churn.</w:t>
      </w:r>
    </w:p>
    <w:p>
      <w:pPr>
        <w:spacing w:after="80"/>
      </w:pPr>
      <w:r>
        <w:rPr>
          <w:b/>
          <w:color w:val="0EA96F"/>
        </w:rPr>
        <w:t xml:space="preserve">[2] </w:t>
      </w:r>
      <w:r>
        <w:t>Pedregosa et al. Scikit-learn: Machine Learning in Python. JMLR, 2011.</w:t>
      </w:r>
    </w:p>
    <w:p>
      <w:pPr>
        <w:spacing w:after="80"/>
      </w:pPr>
      <w:r>
        <w:rPr>
          <w:b/>
          <w:color w:val="0EA96F"/>
        </w:rPr>
        <w:t xml:space="preserve">[3] </w:t>
      </w:r>
      <w:r>
        <w:t>Chen &amp; Guestrin. XGBoost: A Scalable Tree Boosting System. KDD, 2016.</w:t>
      </w:r>
    </w:p>
    <w:p>
      <w:pPr>
        <w:spacing w:after="80"/>
      </w:pPr>
      <w:r>
        <w:rPr>
          <w:b/>
          <w:color w:val="0EA96F"/>
        </w:rPr>
        <w:t xml:space="preserve">[4] </w:t>
      </w:r>
      <w:r>
        <w:t>Lundberg &amp; Lee. A Unified Approach to Interpreting Model Predictions. NeurIPS, 2017.</w:t>
      </w:r>
    </w:p>
    <w:p>
      <w:pPr>
        <w:spacing w:after="80"/>
      </w:pPr>
      <w:r>
        <w:rPr>
          <w:b/>
          <w:color w:val="0EA96F"/>
        </w:rPr>
        <w:t xml:space="preserve">[5] </w:t>
      </w:r>
      <w:r>
        <w:t>Breiman. Random Forests. Machine Learning, 2001.</w:t>
      </w:r>
    </w:p>
    <w:p>
      <w:pPr>
        <w:spacing w:after="80"/>
      </w:pPr>
      <w:r>
        <w:rPr>
          <w:b/>
          <w:color w:val="0EA96F"/>
        </w:rPr>
        <w:t xml:space="preserve">[6] </w:t>
      </w:r>
      <w:r>
        <w:t>Hastie, Tibshirani &amp; Friedman. The Elements of Statistical Learning. Springer.</w:t>
      </w:r>
    </w:p>
    <w:p>
      <w:pPr>
        <w:spacing w:after="80"/>
      </w:pPr>
      <w:r>
        <w:rPr>
          <w:b/>
          <w:color w:val="0EA96F"/>
        </w:rPr>
        <w:t xml:space="preserve">[7] </w:t>
      </w:r>
      <w:r>
        <w:t>Géron. Hands-On Machine Learning with Scikit-Learn, Keras &amp; TensorFlow. O'Reilly.</w:t>
      </w:r>
    </w:p>
    <w:p>
      <w:pPr>
        <w:spacing w:after="80"/>
      </w:pPr>
      <w:r>
        <w:rPr>
          <w:b/>
          <w:color w:val="0EA96F"/>
        </w:rPr>
        <w:t xml:space="preserve">[8] </w:t>
      </w:r>
      <w:r>
        <w:t>FastAPI documentation: https://fastapi.tiangolo.com/</w:t>
      </w:r>
    </w:p>
    <w:p>
      <w:pPr>
        <w:spacing w:after="80"/>
      </w:pPr>
      <w:r>
        <w:rPr>
          <w:b/>
          <w:color w:val="0EA96F"/>
        </w:rPr>
        <w:t xml:space="preserve">[9] </w:t>
      </w:r>
      <w:r>
        <w:t>SQLite documentation: https://www.sqlite.org/docs.html</w:t>
      </w:r>
    </w:p>
    <w:p>
      <w:pPr>
        <w:spacing w:after="80"/>
      </w:pPr>
      <w:r>
        <w:rPr>
          <w:b/>
          <w:color w:val="0EA96F"/>
        </w:rPr>
        <w:t xml:space="preserve">[10] </w:t>
      </w:r>
      <w:r>
        <w:t>SHAP documentation: https://shap.readthedocs.io/</w:t>
      </w:r>
    </w:p>
    <w:p>
      <w:pPr>
        <w:spacing w:after="140" w:line="307" w:lineRule="auto"/>
      </w:pPr>
      <w:r>
        <w:rPr>
          <w:i/>
          <w:color w:val="5E746B"/>
          <w:sz w:val="18"/>
        </w:rPr>
        <w:t>All metrics in this document were generated by the reproducible training pipeline in this repository. The dataset is publicly available; the code is released under the MIT licence.</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746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E746B"/>
        <w:sz w:val="16"/>
      </w:rPr>
      <w:t>Telco Churn Intelligence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Calibri" w:hAnsi="Calibri"/>
      <w:color w:val="0B1F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1F1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A96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A96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