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8784"/>
            <w:shd w:val="clear" w:color="auto" w:fill="0D2B4E"/>
          </w:tcPr>
          <w:p>
            <w:pPr>
              <w:spacing w:before="120" w:after="120"/>
              <w:jc w:val="center"/>
            </w:pPr>
            <w:r>
              <w:rPr>
                <w:rFonts w:ascii="Calibri" w:hAnsi="Calibri"/>
                <w:b/>
                <w:i w:val="0"/>
                <w:color w:val="FFFFFF"/>
                <w:sz w:val="20"/>
              </w:rPr>
              <w:t xml:space="preserve">  BIG DATA ANALYTICS — LAB PROJECT REPORT  </w:t>
            </w:r>
          </w:p>
        </w:tc>
      </w:tr>
    </w:tbl>
    <w:p/>
    <w:p>
      <w:pPr>
        <w:spacing w:before="600" w:after="80"/>
        <w:jc w:val="center"/>
      </w:pPr>
      <w:r>
        <w:rPr>
          <w:rFonts w:ascii="Calibri" w:hAnsi="Calibri"/>
          <w:b/>
          <w:i w:val="0"/>
          <w:color w:val="0D2B4E"/>
          <w:sz w:val="56"/>
        </w:rPr>
        <w:t>VitalStream</w:t>
      </w:r>
    </w:p>
    <w:p>
      <w:pPr>
        <w:spacing w:after="40"/>
        <w:jc w:val="center"/>
      </w:pPr>
      <w:r>
        <w:rPr>
          <w:rFonts w:ascii="Calibri" w:hAnsi="Calibri"/>
          <w:b w:val="0"/>
          <w:i/>
          <w:color w:val="007A87"/>
          <w:sz w:val="28"/>
        </w:rPr>
        <w:t>Perioperative Clinical Command Center</w:t>
      </w:r>
    </w:p>
    <w:p>
      <w:pPr>
        <w:spacing w:after="600"/>
        <w:jc w:val="center"/>
      </w:pPr>
      <w:r>
        <w:rPr>
          <w:rFonts w:ascii="Calibri" w:hAnsi="Calibri"/>
          <w:b w:val="0"/>
          <w:i w:val="0"/>
          <w:color w:val="555555"/>
          <w:sz w:val="21"/>
        </w:rPr>
        <w:t>Real-Time OR Monitoring with Apache Kafka · Flink · Cassandra · MongoDB</w:t>
      </w:r>
    </w:p>
    <w:p>
      <w:pPr>
        <w:spacing w:before="80" w:after="80"/>
        <w:pBdr>
          <w:bottom w:val="single" w:sz="4" w:space="1" w:color="CCDDEE"/>
        </w:pBdr>
      </w:pPr>
    </w:p>
    <w:p/>
    <w:tbl>
      <w:tblPr>
        <w:tblStyle w:val="TableGrid"/>
        <w:tblW w:type="auto" w:w="0"/>
        <w:jc w:val="center"/>
        <w:tblLook w:firstColumn="1" w:firstRow="1" w:lastColumn="0" w:lastRow="0" w:noHBand="0" w:noVBand="1" w:val="04A0"/>
      </w:tblPr>
      <w:tblGrid>
        <w:gridCol w:w="2928"/>
        <w:gridCol w:w="2928"/>
        <w:gridCol w:w="2928"/>
      </w:tblGrid>
      <w:tr>
        <w:tc>
          <w:tcPr>
            <w:tcW w:type="dxa" w:w="2160"/>
            <w:shd w:val="clear" w:color="auto" w:fill="0D2B4E"/>
            <w:vAlign w:val="center"/>
          </w:tcPr>
          <w:p>
            <w:pPr>
              <w:jc w:val="center"/>
            </w:pPr>
            <w:r>
              <w:rPr>
                <w:rFonts w:ascii="Calibri" w:hAnsi="Calibri"/>
                <w:b/>
                <w:i w:val="0"/>
                <w:color w:val="FFFFFF"/>
                <w:sz w:val="20"/>
              </w:rPr>
              <w:t>Team Member</w:t>
            </w:r>
          </w:p>
        </w:tc>
        <w:tc>
          <w:tcPr>
            <w:tcW w:type="dxa" w:w="1296"/>
            <w:shd w:val="clear" w:color="auto" w:fill="0D2B4E"/>
            <w:vAlign w:val="center"/>
          </w:tcPr>
          <w:p>
            <w:pPr>
              <w:jc w:val="center"/>
            </w:pPr>
            <w:r>
              <w:rPr>
                <w:rFonts w:ascii="Calibri" w:hAnsi="Calibri"/>
                <w:b/>
                <w:i w:val="0"/>
                <w:color w:val="FFFFFF"/>
                <w:sz w:val="20"/>
              </w:rPr>
              <w:t>Role</w:t>
            </w:r>
          </w:p>
        </w:tc>
        <w:tc>
          <w:tcPr>
            <w:tcW w:type="dxa" w:w="5328"/>
            <w:shd w:val="clear" w:color="auto" w:fill="0D2B4E"/>
            <w:vAlign w:val="center"/>
          </w:tcPr>
          <w:p>
            <w:pPr>
              <w:jc w:val="center"/>
            </w:pPr>
            <w:r>
              <w:rPr>
                <w:rFonts w:ascii="Calibri" w:hAnsi="Calibri"/>
                <w:b/>
                <w:i w:val="0"/>
                <w:color w:val="FFFFFF"/>
                <w:sz w:val="20"/>
              </w:rPr>
              <w:t>Component Ownership</w:t>
            </w:r>
          </w:p>
        </w:tc>
      </w:tr>
      <w:tr>
        <w:tc>
          <w:tcPr>
            <w:tcW w:type="dxa" w:w="2160"/>
            <w:shd w:val="clear" w:color="auto" w:fill="FFFFFF"/>
            <w:vAlign w:val="center"/>
          </w:tcPr>
          <w:p>
            <w:pPr>
              <w:jc w:val="left"/>
            </w:pPr>
            <w:r>
              <w:rPr>
                <w:rFonts w:ascii="Calibri" w:hAnsi="Calibri"/>
                <w:b w:val="0"/>
                <w:i w:val="0"/>
                <w:color w:val="2C2C2C"/>
                <w:sz w:val="20"/>
              </w:rPr>
              <w:t>Pushkar Kanjani</w:t>
            </w:r>
          </w:p>
        </w:tc>
        <w:tc>
          <w:tcPr>
            <w:tcW w:type="dxa" w:w="1296"/>
            <w:shd w:val="clear" w:color="auto" w:fill="FFFFFF"/>
            <w:vAlign w:val="center"/>
          </w:tcPr>
          <w:p>
            <w:pPr>
              <w:jc w:val="left"/>
            </w:pPr>
            <w:r>
              <w:rPr>
                <w:rFonts w:ascii="Calibri" w:hAnsi="Calibri"/>
                <w:b w:val="0"/>
                <w:i w:val="0"/>
                <w:color w:val="2C2C2C"/>
                <w:sz w:val="20"/>
              </w:rPr>
              <w:t>Lead</w:t>
            </w:r>
          </w:p>
        </w:tc>
        <w:tc>
          <w:tcPr>
            <w:tcW w:type="dxa" w:w="5328"/>
            <w:shd w:val="clear" w:color="auto" w:fill="FFFFFF"/>
            <w:vAlign w:val="center"/>
          </w:tcPr>
          <w:p>
            <w:pPr>
              <w:jc w:val="left"/>
            </w:pPr>
            <w:r>
              <w:rPr>
                <w:rFonts w:ascii="Calibri" w:hAnsi="Calibri"/>
                <w:b w:val="0"/>
                <w:i w:val="0"/>
                <w:color w:val="2C2C2C"/>
                <w:sz w:val="20"/>
              </w:rPr>
              <w:t>MongoDB · FastAPI · React Dashboard · ACID Bed Locks · Allergy Engine</w:t>
            </w:r>
          </w:p>
        </w:tc>
      </w:tr>
      <w:tr>
        <w:tc>
          <w:tcPr>
            <w:tcW w:type="dxa" w:w="2160"/>
            <w:shd w:val="clear" w:color="auto" w:fill="EFF4FA"/>
            <w:vAlign w:val="center"/>
          </w:tcPr>
          <w:p>
            <w:pPr>
              <w:jc w:val="left"/>
            </w:pPr>
            <w:r>
              <w:rPr>
                <w:rFonts w:ascii="Calibri" w:hAnsi="Calibri"/>
                <w:b w:val="0"/>
                <w:i w:val="0"/>
                <w:color w:val="2C2C2C"/>
                <w:sz w:val="20"/>
              </w:rPr>
              <w:t>Sachi Shah</w:t>
            </w:r>
          </w:p>
        </w:tc>
        <w:tc>
          <w:tcPr>
            <w:tcW w:type="dxa" w:w="1296"/>
            <w:shd w:val="clear" w:color="auto" w:fill="EFF4FA"/>
            <w:vAlign w:val="center"/>
          </w:tcPr>
          <w:p>
            <w:pPr>
              <w:jc w:val="left"/>
            </w:pPr>
            <w:r>
              <w:rPr>
                <w:rFonts w:ascii="Calibri" w:hAnsi="Calibri"/>
                <w:b w:val="0"/>
                <w:i w:val="0"/>
                <w:color w:val="2C2C2C"/>
                <w:sz w:val="20"/>
              </w:rPr>
              <w:t>Member 2</w:t>
            </w:r>
          </w:p>
        </w:tc>
        <w:tc>
          <w:tcPr>
            <w:tcW w:type="dxa" w:w="5328"/>
            <w:shd w:val="clear" w:color="auto" w:fill="EFF4FA"/>
            <w:vAlign w:val="center"/>
          </w:tcPr>
          <w:p>
            <w:pPr>
              <w:jc w:val="left"/>
            </w:pPr>
            <w:r>
              <w:rPr>
                <w:rFonts w:ascii="Calibri" w:hAnsi="Calibri"/>
                <w:b w:val="0"/>
                <w:i w:val="0"/>
                <w:color w:val="2C2C2C"/>
                <w:sz w:val="20"/>
              </w:rPr>
              <w:t>Kafka Streaming · VitalDB Simulator · Cassandra Consumer</w:t>
            </w:r>
          </w:p>
        </w:tc>
      </w:tr>
      <w:tr>
        <w:tc>
          <w:tcPr>
            <w:tcW w:type="dxa" w:w="2160"/>
            <w:shd w:val="clear" w:color="auto" w:fill="FFFFFF"/>
            <w:vAlign w:val="center"/>
          </w:tcPr>
          <w:p>
            <w:pPr>
              <w:jc w:val="left"/>
            </w:pPr>
            <w:r>
              <w:rPr>
                <w:rFonts w:ascii="Calibri" w:hAnsi="Calibri"/>
                <w:b w:val="0"/>
                <w:i w:val="0"/>
                <w:color w:val="2C2C2C"/>
                <w:sz w:val="20"/>
              </w:rPr>
              <w:t>Yug Thakkar</w:t>
            </w:r>
          </w:p>
        </w:tc>
        <w:tc>
          <w:tcPr>
            <w:tcW w:type="dxa" w:w="1296"/>
            <w:shd w:val="clear" w:color="auto" w:fill="FFFFFF"/>
            <w:vAlign w:val="center"/>
          </w:tcPr>
          <w:p>
            <w:pPr>
              <w:jc w:val="left"/>
            </w:pPr>
            <w:r>
              <w:rPr>
                <w:rFonts w:ascii="Calibri" w:hAnsi="Calibri"/>
                <w:b w:val="0"/>
                <w:i w:val="0"/>
                <w:color w:val="2C2C2C"/>
                <w:sz w:val="20"/>
              </w:rPr>
              <w:t>Member 3</w:t>
            </w:r>
          </w:p>
        </w:tc>
        <w:tc>
          <w:tcPr>
            <w:tcW w:type="dxa" w:w="5328"/>
            <w:shd w:val="clear" w:color="auto" w:fill="FFFFFF"/>
            <w:vAlign w:val="center"/>
          </w:tcPr>
          <w:p>
            <w:pPr>
              <w:jc w:val="left"/>
            </w:pPr>
            <w:r>
              <w:rPr>
                <w:rFonts w:ascii="Calibri" w:hAnsi="Calibri"/>
                <w:b w:val="0"/>
                <w:i w:val="0"/>
                <w:color w:val="2C2C2C"/>
                <w:sz w:val="20"/>
              </w:rPr>
              <w:t>Apache Flink · Alert Detection · 10-min Escalation Timers</w:t>
            </w:r>
          </w:p>
        </w:tc>
      </w:tr>
      <w:tr>
        <w:tc>
          <w:tcPr>
            <w:tcW w:type="dxa" w:w="2160"/>
            <w:shd w:val="clear" w:color="auto" w:fill="EFF4FA"/>
            <w:vAlign w:val="center"/>
          </w:tcPr>
          <w:p>
            <w:pPr>
              <w:jc w:val="left"/>
            </w:pPr>
            <w:r>
              <w:rPr>
                <w:rFonts w:ascii="Calibri" w:hAnsi="Calibri"/>
                <w:b w:val="0"/>
                <w:i w:val="0"/>
                <w:color w:val="2C2C2C"/>
                <w:sz w:val="20"/>
              </w:rPr>
              <w:t>Hemang Shreemali</w:t>
            </w:r>
          </w:p>
        </w:tc>
        <w:tc>
          <w:tcPr>
            <w:tcW w:type="dxa" w:w="1296"/>
            <w:shd w:val="clear" w:color="auto" w:fill="EFF4FA"/>
            <w:vAlign w:val="center"/>
          </w:tcPr>
          <w:p>
            <w:pPr>
              <w:jc w:val="left"/>
            </w:pPr>
            <w:r>
              <w:rPr>
                <w:rFonts w:ascii="Calibri" w:hAnsi="Calibri"/>
                <w:b w:val="0"/>
                <w:i w:val="0"/>
                <w:color w:val="2C2C2C"/>
                <w:sz w:val="20"/>
              </w:rPr>
              <w:t>Member 4</w:t>
            </w:r>
          </w:p>
        </w:tc>
        <w:tc>
          <w:tcPr>
            <w:tcW w:type="dxa" w:w="5328"/>
            <w:shd w:val="clear" w:color="auto" w:fill="EFF4FA"/>
            <w:vAlign w:val="center"/>
          </w:tcPr>
          <w:p>
            <w:pPr>
              <w:jc w:val="left"/>
            </w:pPr>
            <w:r>
              <w:rPr>
                <w:rFonts w:ascii="Calibri" w:hAnsi="Calibri"/>
                <w:b w:val="0"/>
                <w:i w:val="0"/>
                <w:color w:val="2C2C2C"/>
                <w:sz w:val="20"/>
              </w:rPr>
              <w:t>Cassandra Schema · TWCS Compaction · SLA Load Testing</w:t>
            </w:r>
          </w:p>
        </w:tc>
      </w:tr>
    </w:tbl>
    <w:p/>
    <w:p>
      <w:pPr>
        <w:spacing w:before="80" w:after="80"/>
        <w:pBdr>
          <w:bottom w:val="single" w:sz="4" w:space="1" w:color="CCDDEE"/>
        </w:pBdr>
      </w:pPr>
    </w:p>
    <w:p/>
    <w:p>
      <w:pPr>
        <w:spacing w:after="40"/>
        <w:jc w:val="center"/>
      </w:pPr>
      <w:r>
        <w:rPr>
          <w:rFonts w:ascii="Calibri" w:hAnsi="Calibri"/>
          <w:b/>
          <w:i w:val="0"/>
          <w:color w:val="0D2B4E"/>
          <w:sz w:val="21"/>
        </w:rPr>
        <w:t xml:space="preserve">Course: </w:t>
      </w:r>
      <w:r>
        <w:rPr>
          <w:rFonts w:ascii="Calibri" w:hAnsi="Calibri"/>
          <w:b w:val="0"/>
          <w:i w:val="0"/>
          <w:color w:val="2C2C2C"/>
          <w:sz w:val="21"/>
        </w:rPr>
        <w:t>Big Data Analytics / Distributed Systems</w:t>
      </w:r>
    </w:p>
    <w:p>
      <w:pPr>
        <w:spacing w:after="40"/>
        <w:jc w:val="center"/>
      </w:pPr>
      <w:r>
        <w:rPr>
          <w:rFonts w:ascii="Calibri" w:hAnsi="Calibri"/>
          <w:b/>
          <w:i w:val="0"/>
          <w:color w:val="0D2B4E"/>
          <w:sz w:val="21"/>
        </w:rPr>
        <w:t xml:space="preserve">Submission: </w:t>
      </w:r>
      <w:r>
        <w:rPr>
          <w:rFonts w:ascii="Calibri" w:hAnsi="Calibri"/>
          <w:b w:val="0"/>
          <w:i w:val="0"/>
          <w:color w:val="2C2C2C"/>
          <w:sz w:val="21"/>
        </w:rPr>
        <w:t>October 2026</w:t>
      </w:r>
    </w:p>
    <w:p>
      <w:pPr>
        <w:spacing w:after="40"/>
        <w:jc w:val="center"/>
      </w:pPr>
      <w:r>
        <w:rPr>
          <w:rFonts w:ascii="Calibri" w:hAnsi="Calibri"/>
          <w:b/>
          <w:i w:val="0"/>
          <w:color w:val="0D2B4E"/>
          <w:sz w:val="21"/>
        </w:rPr>
        <w:t xml:space="preserve">Repository: </w:t>
      </w:r>
      <w:r>
        <w:rPr>
          <w:rFonts w:ascii="Calibri" w:hAnsi="Calibri"/>
          <w:b w:val="0"/>
          <w:i w:val="0"/>
          <w:color w:val="2C2C2C"/>
          <w:sz w:val="21"/>
        </w:rPr>
        <w:t>github.com/PushkarKanjani/VitalStream</w:t>
      </w:r>
    </w:p>
    <w:p>
      <w:pPr>
        <w:spacing w:after="40"/>
        <w:jc w:val="center"/>
      </w:pPr>
      <w:r>
        <w:rPr>
          <w:rFonts w:ascii="Calibri" w:hAnsi="Calibri"/>
          <w:b/>
          <w:i w:val="0"/>
          <w:color w:val="0D2B4E"/>
          <w:sz w:val="21"/>
        </w:rPr>
        <w:t xml:space="preserve">Dataset: </w:t>
      </w:r>
      <w:r>
        <w:rPr>
          <w:rFonts w:ascii="Calibri" w:hAnsi="Calibri"/>
          <w:b w:val="0"/>
          <w:i w:val="0"/>
          <w:color w:val="2C2C2C"/>
          <w:sz w:val="21"/>
        </w:rPr>
        <w:t>VitalDB — 6,388 Real Intraoperative Cases</w:t>
      </w:r>
    </w:p>
    <w:p>
      <w:r>
        <w:br w:type="page"/>
      </w:r>
    </w:p>
    <w:p>
      <w:pPr>
        <w:spacing w:before="360" w:after="120"/>
        <w:pBdr>
          <w:bottom w:val="single" w:sz="6" w:space="4" w:color="0D2B4E"/>
        </w:pBdr>
      </w:pPr>
      <w:r>
        <w:rPr>
          <w:rFonts w:ascii="Calibri" w:hAnsi="Calibri"/>
          <w:b/>
          <w:i w:val="0"/>
          <w:color w:val="0D2B4E"/>
          <w:sz w:val="26"/>
        </w:rPr>
        <w:t>TABLE OF CONTENTS</w:t>
      </w:r>
    </w:p>
    <w:p>
      <w:pPr>
        <w:spacing w:after="60"/>
      </w:pPr>
      <w:r>
        <w:rPr>
          <w:rFonts w:ascii="Calibri" w:hAnsi="Calibri"/>
          <w:b/>
          <w:i w:val="0"/>
          <w:color w:val="0D2B4E"/>
          <w:sz w:val="21"/>
        </w:rPr>
        <w:t xml:space="preserve">1  </w:t>
      </w:r>
      <w:r>
        <w:rPr>
          <w:rFonts w:ascii="Calibri" w:hAnsi="Calibri"/>
          <w:b w:val="0"/>
          <w:i w:val="0"/>
          <w:color w:val="2C2C2C"/>
          <w:sz w:val="21"/>
        </w:rPr>
        <w:t>Project Overview &amp; Objective</w:t>
      </w:r>
    </w:p>
    <w:p>
      <w:pPr>
        <w:spacing w:after="60"/>
      </w:pPr>
      <w:r>
        <w:rPr>
          <w:rFonts w:ascii="Calibri" w:hAnsi="Calibri"/>
          <w:b/>
          <w:i w:val="0"/>
          <w:color w:val="0D2B4E"/>
          <w:sz w:val="21"/>
        </w:rPr>
        <w:t xml:space="preserve">2  </w:t>
      </w:r>
      <w:r>
        <w:rPr>
          <w:rFonts w:ascii="Calibri" w:hAnsi="Calibri"/>
          <w:b w:val="0"/>
          <w:i w:val="0"/>
          <w:color w:val="2C2C2C"/>
          <w:sz w:val="21"/>
        </w:rPr>
        <w:t>Core Big Data Tools &amp; Role Breakdown</w:t>
      </w:r>
    </w:p>
    <w:p>
      <w:pPr>
        <w:spacing w:after="60"/>
      </w:pPr>
      <w:r>
        <w:rPr>
          <w:rFonts w:ascii="Calibri" w:hAnsi="Calibri"/>
          <w:b w:val="0"/>
          <w:i w:val="0"/>
          <w:color w:val="0D2B4E"/>
          <w:sz w:val="21"/>
        </w:rPr>
        <w:t xml:space="preserve">   2.1  </w:t>
      </w:r>
      <w:r>
        <w:rPr>
          <w:rFonts w:ascii="Calibri" w:hAnsi="Calibri"/>
          <w:b w:val="0"/>
          <w:i w:val="0"/>
          <w:color w:val="2C2C2C"/>
          <w:sz w:val="21"/>
        </w:rPr>
        <w:t>Apache Kafka — Streaming Ingestion</w:t>
      </w:r>
    </w:p>
    <w:p>
      <w:pPr>
        <w:spacing w:after="60"/>
      </w:pPr>
      <w:r>
        <w:rPr>
          <w:rFonts w:ascii="Calibri" w:hAnsi="Calibri"/>
          <w:b w:val="0"/>
          <w:i w:val="0"/>
          <w:color w:val="0D2B4E"/>
          <w:sz w:val="21"/>
        </w:rPr>
        <w:t xml:space="preserve">   2.2  </w:t>
      </w:r>
      <w:r>
        <w:rPr>
          <w:rFonts w:ascii="Calibri" w:hAnsi="Calibri"/>
          <w:b w:val="0"/>
          <w:i w:val="0"/>
          <w:color w:val="2C2C2C"/>
          <w:sz w:val="21"/>
        </w:rPr>
        <w:t>Apache Flink — Real-Time Stream Processing</w:t>
      </w:r>
    </w:p>
    <w:p>
      <w:pPr>
        <w:spacing w:after="60"/>
      </w:pPr>
      <w:r>
        <w:rPr>
          <w:rFonts w:ascii="Calibri" w:hAnsi="Calibri"/>
          <w:b w:val="0"/>
          <w:i w:val="0"/>
          <w:color w:val="0D2B4E"/>
          <w:sz w:val="21"/>
        </w:rPr>
        <w:t xml:space="preserve">   2.3  </w:t>
      </w:r>
      <w:r>
        <w:rPr>
          <w:rFonts w:ascii="Calibri" w:hAnsi="Calibri"/>
          <w:b w:val="0"/>
          <w:i w:val="0"/>
          <w:color w:val="2C2C2C"/>
          <w:sz w:val="21"/>
        </w:rPr>
        <w:t>Apache Cassandra — Time-Series Storage</w:t>
      </w:r>
    </w:p>
    <w:p>
      <w:pPr>
        <w:spacing w:after="60"/>
      </w:pPr>
      <w:r>
        <w:rPr>
          <w:rFonts w:ascii="Calibri" w:hAnsi="Calibri"/>
          <w:b w:val="0"/>
          <w:i w:val="0"/>
          <w:color w:val="0D2B4E"/>
          <w:sz w:val="21"/>
        </w:rPr>
        <w:t xml:space="preserve">   2.4  </w:t>
      </w:r>
      <w:r>
        <w:rPr>
          <w:rFonts w:ascii="Calibri" w:hAnsi="Calibri"/>
          <w:b w:val="0"/>
          <w:i w:val="0"/>
          <w:color w:val="2C2C2C"/>
          <w:sz w:val="21"/>
        </w:rPr>
        <w:t>MongoDB — Transactional &amp; Entity Storage</w:t>
      </w:r>
    </w:p>
    <w:p>
      <w:pPr>
        <w:spacing w:after="60"/>
      </w:pPr>
      <w:r>
        <w:rPr>
          <w:rFonts w:ascii="Calibri" w:hAnsi="Calibri"/>
          <w:b w:val="0"/>
          <w:i w:val="0"/>
          <w:color w:val="0D2B4E"/>
          <w:sz w:val="21"/>
        </w:rPr>
        <w:t xml:space="preserve">   2.5  </w:t>
      </w:r>
      <w:r>
        <w:rPr>
          <w:rFonts w:ascii="Calibri" w:hAnsi="Calibri"/>
          <w:b w:val="0"/>
          <w:i w:val="0"/>
          <w:color w:val="2C2C2C"/>
          <w:sz w:val="21"/>
        </w:rPr>
        <w:t>FastAPI + React — Backend API &amp; Dashboard</w:t>
      </w:r>
    </w:p>
    <w:p>
      <w:pPr>
        <w:spacing w:after="60"/>
      </w:pPr>
      <w:r>
        <w:rPr>
          <w:rFonts w:ascii="Calibri" w:hAnsi="Calibri"/>
          <w:b/>
          <w:i w:val="0"/>
          <w:color w:val="0D2B4E"/>
          <w:sz w:val="21"/>
        </w:rPr>
        <w:t xml:space="preserve">3  </w:t>
      </w:r>
      <w:r>
        <w:rPr>
          <w:rFonts w:ascii="Calibri" w:hAnsi="Calibri"/>
          <w:b w:val="0"/>
          <w:i w:val="0"/>
          <w:color w:val="2C2C2C"/>
          <w:sz w:val="21"/>
        </w:rPr>
        <w:t>End-to-End System Architecture &amp; Data Flow</w:t>
      </w:r>
    </w:p>
    <w:p>
      <w:pPr>
        <w:spacing w:after="60"/>
      </w:pPr>
      <w:r>
        <w:rPr>
          <w:rFonts w:ascii="Calibri" w:hAnsi="Calibri"/>
          <w:b/>
          <w:i w:val="0"/>
          <w:color w:val="0D2B4E"/>
          <w:sz w:val="21"/>
        </w:rPr>
        <w:t xml:space="preserve">4  </w:t>
      </w:r>
      <w:r>
        <w:rPr>
          <w:rFonts w:ascii="Calibri" w:hAnsi="Calibri"/>
          <w:b w:val="0"/>
          <w:i w:val="0"/>
          <w:color w:val="2C2C2C"/>
          <w:sz w:val="21"/>
        </w:rPr>
        <w:t>Performance Evaluation &amp; Validation</w:t>
      </w:r>
    </w:p>
    <w:p>
      <w:pPr>
        <w:spacing w:after="60"/>
      </w:pPr>
      <w:r>
        <w:rPr>
          <w:rFonts w:ascii="Calibri" w:hAnsi="Calibri"/>
          <w:b/>
          <w:i w:val="0"/>
          <w:color w:val="0D2B4E"/>
          <w:sz w:val="21"/>
        </w:rPr>
        <w:t xml:space="preserve">5  </w:t>
      </w:r>
      <w:r>
        <w:rPr>
          <w:rFonts w:ascii="Calibri" w:hAnsi="Calibri"/>
          <w:b w:val="0"/>
          <w:i w:val="0"/>
          <w:color w:val="2C2C2C"/>
          <w:sz w:val="21"/>
        </w:rPr>
        <w:t>Team Collaboration &amp; Key Learnings</w:t>
      </w:r>
    </w:p>
    <w:p>
      <w:pPr>
        <w:spacing w:after="60"/>
      </w:pPr>
      <w:r>
        <w:rPr>
          <w:rFonts w:ascii="Calibri" w:hAnsi="Calibri"/>
          <w:b/>
          <w:i w:val="0"/>
          <w:color w:val="0D2B4E"/>
          <w:sz w:val="21"/>
        </w:rPr>
        <w:t xml:space="preserve">6  </w:t>
      </w:r>
      <w:r>
        <w:rPr>
          <w:rFonts w:ascii="Calibri" w:hAnsi="Calibri"/>
          <w:b w:val="0"/>
          <w:i w:val="0"/>
          <w:color w:val="2C2C2C"/>
          <w:sz w:val="21"/>
        </w:rPr>
        <w:t>Future Scope &amp; Conclusion</w:t>
      </w:r>
    </w:p>
    <w:p>
      <w:r>
        <w:br w:type="page"/>
      </w:r>
    </w:p>
    <w:p>
      <w:pPr>
        <w:spacing w:before="360" w:after="120"/>
        <w:pBdr>
          <w:bottom w:val="single" w:sz="6" w:space="4" w:color="0D2B4E"/>
        </w:pBdr>
      </w:pPr>
      <w:r>
        <w:rPr>
          <w:rFonts w:ascii="Calibri" w:hAnsi="Calibri"/>
          <w:b/>
          <w:i w:val="0"/>
          <w:color w:val="0D2B4E"/>
          <w:sz w:val="26"/>
        </w:rPr>
        <w:t>1. PROJECT OVERVIEW &amp; OBJECTIVE</w:t>
      </w:r>
    </w:p>
    <w:p>
      <w:pPr>
        <w:spacing w:before="0" w:after="80"/>
        <w:jc w:val="both"/>
      </w:pPr>
      <w:r>
        <w:rPr>
          <w:rFonts w:ascii="Calibri" w:hAnsi="Calibri"/>
          <w:b w:val="0"/>
          <w:i w:val="0"/>
          <w:color w:val="2C2C2C"/>
          <w:sz w:val="22"/>
        </w:rPr>
        <w:t>VitalStream is a real-time perioperative clinical command center built to stream, process, store, and visualise intraoperative patient telemetry across six simultaneous Operating Rooms (ORs). The system ingests live vital signs sourced from the VitalDB dataset — a repository of 6,388 real intraoperative recordings from Seoul National University Hospital — and delivers them to a clinical dashboard with sub-second latency.</w:t>
      </w:r>
    </w:p>
    <w:p>
      <w:pPr>
        <w:spacing w:before="200" w:after="60"/>
      </w:pPr>
      <w:r>
        <w:rPr>
          <w:rFonts w:ascii="Calibri" w:hAnsi="Calibri"/>
          <w:b/>
          <w:i w:val="0"/>
          <w:color w:val="007A87"/>
          <w:sz w:val="23"/>
        </w:rPr>
        <w:t>What We Built</w:t>
      </w:r>
    </w:p>
    <w:p>
      <w:pPr>
        <w:pStyle w:val="ListBullet"/>
        <w:spacing w:after="40"/>
        <w:ind w:left="432"/>
      </w:pPr>
      <w:r>
        <w:rPr>
          <w:rFonts w:ascii="Calibri" w:hAnsi="Calibri"/>
          <w:b w:val="0"/>
          <w:i w:val="0"/>
          <w:color w:val="2C2C2C"/>
          <w:sz w:val="22"/>
        </w:rPr>
        <w:t>A 6-bed OR monitoring grid that displays Heart Rate, SpO₂, Systolic/Diastolic BP, Temperature, and EtCO₂ in real time.</w:t>
      </w:r>
    </w:p>
    <w:p>
      <w:pPr>
        <w:pStyle w:val="ListBullet"/>
        <w:spacing w:after="40"/>
        <w:ind w:left="432"/>
      </w:pPr>
      <w:r>
        <w:rPr>
          <w:rFonts w:ascii="Calibri" w:hAnsi="Calibri"/>
          <w:b w:val="0"/>
          <w:i w:val="0"/>
          <w:color w:val="2C2C2C"/>
          <w:sz w:val="22"/>
        </w:rPr>
        <w:t>A distributed streaming pipeline capable of handling 518,000 vital sign readings per day across 6 ORs.</w:t>
      </w:r>
    </w:p>
    <w:p>
      <w:pPr>
        <w:pStyle w:val="ListBullet"/>
        <w:spacing w:after="40"/>
        <w:ind w:left="432"/>
      </w:pPr>
      <w:r>
        <w:rPr>
          <w:rFonts w:ascii="Calibri" w:hAnsi="Calibri"/>
          <w:b w:val="0"/>
          <w:i w:val="0"/>
          <w:color w:val="2C2C2C"/>
          <w:sz w:val="22"/>
        </w:rPr>
        <w:t>A stateful alert engine that detects clinical anomalies, deduplicates them over a 5-minute window, and escalates unacknowledged alerts to the charge nurse after 10 minutes.</w:t>
      </w:r>
    </w:p>
    <w:p>
      <w:pPr>
        <w:pStyle w:val="ListBullet"/>
        <w:spacing w:after="40"/>
        <w:ind w:left="432"/>
      </w:pPr>
      <w:r>
        <w:rPr>
          <w:rFonts w:ascii="Calibri" w:hAnsi="Calibri"/>
          <w:b w:val="0"/>
          <w:i w:val="0"/>
          <w:color w:val="2C2C2C"/>
          <w:sz w:val="22"/>
        </w:rPr>
        <w:t>An ACID-compliant bed reservation system preventing double-booking conflicts even under concurrent user load.</w:t>
      </w:r>
    </w:p>
    <w:p>
      <w:pPr>
        <w:pStyle w:val="ListBullet"/>
        <w:spacing w:after="40"/>
        <w:ind w:left="432"/>
      </w:pPr>
      <w:r>
        <w:rPr>
          <w:rFonts w:ascii="Calibri" w:hAnsi="Calibri"/>
          <w:b w:val="0"/>
          <w:i w:val="0"/>
          <w:color w:val="2C2C2C"/>
          <w:sz w:val="22"/>
        </w:rPr>
        <w:t>A drug-allergy safety engine that intercepts medication orders contraindicated by a patient's documented allergy profile.</w:t>
      </w:r>
    </w:p>
    <w:p>
      <w:pPr>
        <w:spacing w:before="200" w:after="60"/>
      </w:pPr>
      <w:r>
        <w:rPr>
          <w:rFonts w:ascii="Calibri" w:hAnsi="Calibri"/>
          <w:b/>
          <w:i w:val="0"/>
          <w:color w:val="007A87"/>
          <w:sz w:val="23"/>
        </w:rPr>
        <w:t>Why We Built It</w:t>
      </w:r>
    </w:p>
    <w:p>
      <w:pPr>
        <w:pStyle w:val="ListBullet"/>
        <w:spacing w:after="40"/>
        <w:ind w:left="432"/>
      </w:pPr>
      <w:r>
        <w:rPr>
          <w:rFonts w:ascii="Calibri" w:hAnsi="Calibri"/>
          <w:b w:val="0"/>
          <w:i w:val="0"/>
          <w:color w:val="2C2C2C"/>
          <w:sz w:val="22"/>
        </w:rPr>
        <w:t>Prevent surgical complications: Undetected vital sign anomalies during surgery are a leading cause of intraoperative adverse events.</w:t>
      </w:r>
    </w:p>
    <w:p>
      <w:pPr>
        <w:pStyle w:val="ListBullet"/>
        <w:spacing w:after="40"/>
        <w:ind w:left="432"/>
      </w:pPr>
      <w:r>
        <w:rPr>
          <w:rFonts w:ascii="Calibri" w:hAnsi="Calibri"/>
          <w:b w:val="0"/>
          <w:i w:val="0"/>
          <w:color w:val="2C2C2C"/>
          <w:sz w:val="22"/>
        </w:rPr>
        <w:t>Eliminate alert fatigue: Naive systems emit one alert per abnormal reading — at 1 Hz, this means 300 identical alarms in 5 minutes. Our Flink deduplication engine raises each alert exactly once per 5-minute window.</w:t>
      </w:r>
    </w:p>
    <w:p>
      <w:pPr>
        <w:pStyle w:val="ListBullet"/>
        <w:spacing w:after="40"/>
        <w:ind w:left="432"/>
      </w:pPr>
      <w:r>
        <w:rPr>
          <w:rFonts w:ascii="Calibri" w:hAnsi="Calibri"/>
          <w:b w:val="0"/>
          <w:i w:val="0"/>
          <w:color w:val="2C2C2C"/>
          <w:sz w:val="22"/>
        </w:rPr>
        <w:t>Stop bed allocation conflicts: In a high-pressure post-op environment, two nurses simultaneously reserving the same recovery bed can leave a post-anaesthesia patient without care. Our MongoDB atomic locking prevents this class of race condition entirely.</w:t>
      </w:r>
    </w:p>
    <w:p>
      <w:pPr>
        <w:pStyle w:val="ListBullet"/>
        <w:spacing w:after="40"/>
        <w:ind w:left="432"/>
      </w:pPr>
      <w:r>
        <w:rPr>
          <w:rFonts w:ascii="Calibri" w:hAnsi="Calibri"/>
          <w:b w:val="0"/>
          <w:i w:val="0"/>
          <w:color w:val="2C2C2C"/>
          <w:sz w:val="22"/>
        </w:rPr>
        <w:t>Apply real big data architectures: The project demonstrates polyglot persistence — choosing the right storage engine for each data access pattern rather than forcing all data into a single database.</w:t>
      </w:r>
    </w:p>
    <w:p>
      <w:pPr>
        <w:spacing w:before="80" w:after="80"/>
        <w:pBdr>
          <w:bottom w:val="single" w:sz="4" w:space="1" w:color="CCDDEE"/>
        </w:pBdr>
      </w:pPr>
    </w:p>
    <w:p>
      <w:pPr>
        <w:spacing w:before="360" w:after="120"/>
        <w:pBdr>
          <w:bottom w:val="single" w:sz="6" w:space="4" w:color="0D2B4E"/>
        </w:pBdr>
      </w:pPr>
      <w:r>
        <w:rPr>
          <w:rFonts w:ascii="Calibri" w:hAnsi="Calibri"/>
          <w:b/>
          <w:i w:val="0"/>
          <w:color w:val="0D2B4E"/>
          <w:sz w:val="26"/>
        </w:rPr>
        <w:t>2. CORE BIG DATA TOOLS &amp; ROLE BREAKDOWN</w:t>
      </w:r>
    </w:p>
    <w:p>
      <w:pPr>
        <w:spacing w:before="0" w:after="80"/>
        <w:jc w:val="both"/>
      </w:pPr>
      <w:r>
        <w:rPr>
          <w:rFonts w:ascii="Calibri" w:hAnsi="Calibri"/>
          <w:b w:val="0"/>
          <w:i w:val="0"/>
          <w:color w:val="2C2C2C"/>
          <w:sz w:val="22"/>
        </w:rPr>
        <w:t>VitalStream deliberately employs a polyglot persistence strategy: each infrastructure component is selected based on its optimal fit for a specific data access pattern. The table below summarises the four core big data tools, the clinical problem they solve, and their consistency model.</w:t>
      </w:r>
    </w:p>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0D2B4E"/>
            <w:vAlign w:val="center"/>
          </w:tcPr>
          <w:p>
            <w:pPr>
              <w:jc w:val="center"/>
            </w:pPr>
            <w:r>
              <w:rPr>
                <w:rFonts w:ascii="Calibri" w:hAnsi="Calibri"/>
                <w:b/>
                <w:i w:val="0"/>
                <w:color w:val="FFFFFF"/>
                <w:sz w:val="20"/>
              </w:rPr>
              <w:t>Tool</w:t>
            </w:r>
          </w:p>
        </w:tc>
        <w:tc>
          <w:tcPr>
            <w:tcW w:type="dxa" w:w="1008"/>
            <w:shd w:val="clear" w:color="auto" w:fill="0D2B4E"/>
            <w:vAlign w:val="center"/>
          </w:tcPr>
          <w:p>
            <w:pPr>
              <w:jc w:val="center"/>
            </w:pPr>
            <w:r>
              <w:rPr>
                <w:rFonts w:ascii="Calibri" w:hAnsi="Calibri"/>
                <w:b/>
                <w:i w:val="0"/>
                <w:color w:val="FFFFFF"/>
                <w:sz w:val="20"/>
              </w:rPr>
              <w:t>Version</w:t>
            </w:r>
          </w:p>
        </w:tc>
        <w:tc>
          <w:tcPr>
            <w:tcW w:type="dxa" w:w="5040"/>
            <w:shd w:val="clear" w:color="auto" w:fill="0D2B4E"/>
            <w:vAlign w:val="center"/>
          </w:tcPr>
          <w:p>
            <w:pPr>
              <w:jc w:val="center"/>
            </w:pPr>
            <w:r>
              <w:rPr>
                <w:rFonts w:ascii="Calibri" w:hAnsi="Calibri"/>
                <w:b/>
                <w:i w:val="0"/>
                <w:color w:val="FFFFFF"/>
                <w:sz w:val="20"/>
              </w:rPr>
              <w:t>Role in VitalStream</w:t>
            </w:r>
          </w:p>
        </w:tc>
        <w:tc>
          <w:tcPr>
            <w:tcW w:type="dxa" w:w="2016"/>
            <w:shd w:val="clear" w:color="auto" w:fill="0D2B4E"/>
            <w:vAlign w:val="center"/>
          </w:tcPr>
          <w:p>
            <w:pPr>
              <w:jc w:val="center"/>
            </w:pPr>
            <w:r>
              <w:rPr>
                <w:rFonts w:ascii="Calibri" w:hAnsi="Calibri"/>
                <w:b/>
                <w:i w:val="0"/>
                <w:color w:val="FFFFFF"/>
                <w:sz w:val="20"/>
              </w:rPr>
              <w:t>Consistency Model</w:t>
            </w:r>
          </w:p>
        </w:tc>
      </w:tr>
      <w:tr>
        <w:tc>
          <w:tcPr>
            <w:tcW w:type="dxa" w:w="2160"/>
            <w:shd w:val="clear" w:color="auto" w:fill="FFFFFF"/>
            <w:vAlign w:val="center"/>
          </w:tcPr>
          <w:p>
            <w:pPr>
              <w:jc w:val="left"/>
            </w:pPr>
            <w:r>
              <w:rPr>
                <w:rFonts w:ascii="Calibri" w:hAnsi="Calibri"/>
                <w:b w:val="0"/>
                <w:i w:val="0"/>
                <w:color w:val="2C2C2C"/>
                <w:sz w:val="20"/>
              </w:rPr>
              <w:t>Apache Kafka</w:t>
            </w:r>
          </w:p>
        </w:tc>
        <w:tc>
          <w:tcPr>
            <w:tcW w:type="dxa" w:w="1008"/>
            <w:shd w:val="clear" w:color="auto" w:fill="FFFFFF"/>
            <w:vAlign w:val="center"/>
          </w:tcPr>
          <w:p>
            <w:pPr>
              <w:jc w:val="left"/>
            </w:pPr>
            <w:r>
              <w:rPr>
                <w:rFonts w:ascii="Calibri" w:hAnsi="Calibri"/>
                <w:b w:val="0"/>
                <w:i w:val="0"/>
                <w:color w:val="2C2C2C"/>
                <w:sz w:val="20"/>
              </w:rPr>
              <w:t>3.6</w:t>
            </w:r>
          </w:p>
        </w:tc>
        <w:tc>
          <w:tcPr>
            <w:tcW w:type="dxa" w:w="5040"/>
            <w:shd w:val="clear" w:color="auto" w:fill="FFFFFF"/>
            <w:vAlign w:val="center"/>
          </w:tcPr>
          <w:p>
            <w:pPr>
              <w:jc w:val="left"/>
            </w:pPr>
            <w:r>
              <w:rPr>
                <w:rFonts w:ascii="Calibri" w:hAnsi="Calibri"/>
                <w:b w:val="0"/>
                <w:i w:val="0"/>
                <w:color w:val="2C2C2C"/>
                <w:sz w:val="20"/>
              </w:rPr>
              <w:t>Message broker — decouples sensor telemetry from downstream consumers. 6 partitions keyed by or_id.</w:t>
            </w:r>
          </w:p>
        </w:tc>
        <w:tc>
          <w:tcPr>
            <w:tcW w:type="dxa" w:w="2016"/>
            <w:shd w:val="clear" w:color="auto" w:fill="FFFFFF"/>
            <w:vAlign w:val="center"/>
          </w:tcPr>
          <w:p>
            <w:pPr>
              <w:jc w:val="left"/>
            </w:pPr>
            <w:r>
              <w:rPr>
                <w:rFonts w:ascii="Calibri" w:hAnsi="Calibri"/>
                <w:b w:val="0"/>
                <w:i w:val="0"/>
                <w:color w:val="2C2C2C"/>
                <w:sz w:val="20"/>
              </w:rPr>
              <w:t>At-least-once (acks=1)</w:t>
            </w:r>
          </w:p>
        </w:tc>
      </w:tr>
      <w:tr>
        <w:tc>
          <w:tcPr>
            <w:tcW w:type="dxa" w:w="2160"/>
            <w:shd w:val="clear" w:color="auto" w:fill="EFF4FA"/>
            <w:vAlign w:val="center"/>
          </w:tcPr>
          <w:p>
            <w:pPr>
              <w:jc w:val="left"/>
            </w:pPr>
            <w:r>
              <w:rPr>
                <w:rFonts w:ascii="Calibri" w:hAnsi="Calibri"/>
                <w:b w:val="0"/>
                <w:i w:val="0"/>
                <w:color w:val="2C2C2C"/>
                <w:sz w:val="20"/>
              </w:rPr>
              <w:t>Apache Flink</w:t>
            </w:r>
          </w:p>
        </w:tc>
        <w:tc>
          <w:tcPr>
            <w:tcW w:type="dxa" w:w="1008"/>
            <w:shd w:val="clear" w:color="auto" w:fill="EFF4FA"/>
            <w:vAlign w:val="center"/>
          </w:tcPr>
          <w:p>
            <w:pPr>
              <w:jc w:val="left"/>
            </w:pPr>
            <w:r>
              <w:rPr>
                <w:rFonts w:ascii="Calibri" w:hAnsi="Calibri"/>
                <w:b w:val="0"/>
                <w:i w:val="0"/>
                <w:color w:val="2C2C2C"/>
                <w:sz w:val="20"/>
              </w:rPr>
              <w:t>1.18</w:t>
            </w:r>
          </w:p>
        </w:tc>
        <w:tc>
          <w:tcPr>
            <w:tcW w:type="dxa" w:w="5040"/>
            <w:shd w:val="clear" w:color="auto" w:fill="EFF4FA"/>
            <w:vAlign w:val="center"/>
          </w:tcPr>
          <w:p>
            <w:pPr>
              <w:jc w:val="left"/>
            </w:pPr>
            <w:r>
              <w:rPr>
                <w:rFonts w:ascii="Calibri" w:hAnsi="Calibri"/>
                <w:b w:val="0"/>
                <w:i w:val="0"/>
                <w:color w:val="2C2C2C"/>
                <w:sz w:val="20"/>
              </w:rPr>
              <w:t>Stateful stream processor — alert detection, 5-min deduplication, 10-min escalation timers.</w:t>
            </w:r>
          </w:p>
        </w:tc>
        <w:tc>
          <w:tcPr>
            <w:tcW w:type="dxa" w:w="2016"/>
            <w:shd w:val="clear" w:color="auto" w:fill="EFF4FA"/>
            <w:vAlign w:val="center"/>
          </w:tcPr>
          <w:p>
            <w:pPr>
              <w:jc w:val="left"/>
            </w:pPr>
            <w:r>
              <w:rPr>
                <w:rFonts w:ascii="Calibri" w:hAnsi="Calibri"/>
                <w:b w:val="0"/>
                <w:i w:val="0"/>
                <w:color w:val="2C2C2C"/>
                <w:sz w:val="20"/>
              </w:rPr>
              <w:t>Exactly-once (Checkpointing)</w:t>
            </w:r>
          </w:p>
        </w:tc>
      </w:tr>
      <w:tr>
        <w:tc>
          <w:tcPr>
            <w:tcW w:type="dxa" w:w="2160"/>
            <w:shd w:val="clear" w:color="auto" w:fill="FFFFFF"/>
            <w:vAlign w:val="center"/>
          </w:tcPr>
          <w:p>
            <w:pPr>
              <w:jc w:val="left"/>
            </w:pPr>
            <w:r>
              <w:rPr>
                <w:rFonts w:ascii="Calibri" w:hAnsi="Calibri"/>
                <w:b w:val="0"/>
                <w:i w:val="0"/>
                <w:color w:val="2C2C2C"/>
                <w:sz w:val="20"/>
              </w:rPr>
              <w:t>Apache Cassandra</w:t>
            </w:r>
          </w:p>
        </w:tc>
        <w:tc>
          <w:tcPr>
            <w:tcW w:type="dxa" w:w="1008"/>
            <w:shd w:val="clear" w:color="auto" w:fill="FFFFFF"/>
            <w:vAlign w:val="center"/>
          </w:tcPr>
          <w:p>
            <w:pPr>
              <w:jc w:val="left"/>
            </w:pPr>
            <w:r>
              <w:rPr>
                <w:rFonts w:ascii="Calibri" w:hAnsi="Calibri"/>
                <w:b w:val="0"/>
                <w:i w:val="0"/>
                <w:color w:val="2C2C2C"/>
                <w:sz w:val="20"/>
              </w:rPr>
              <w:t>4.1</w:t>
            </w:r>
          </w:p>
        </w:tc>
        <w:tc>
          <w:tcPr>
            <w:tcW w:type="dxa" w:w="5040"/>
            <w:shd w:val="clear" w:color="auto" w:fill="FFFFFF"/>
            <w:vAlign w:val="center"/>
          </w:tcPr>
          <w:p>
            <w:pPr>
              <w:jc w:val="left"/>
            </w:pPr>
            <w:r>
              <w:rPr>
                <w:rFonts w:ascii="Calibri" w:hAnsi="Calibri"/>
                <w:b w:val="0"/>
                <w:i w:val="0"/>
                <w:color w:val="2C2C2C"/>
                <w:sz w:val="20"/>
              </w:rPr>
              <w:t>Write-optimised time-series NoSQL — stores 518k vitals/day with TWCS compaction.</w:t>
            </w:r>
          </w:p>
        </w:tc>
        <w:tc>
          <w:tcPr>
            <w:tcW w:type="dxa" w:w="2016"/>
            <w:shd w:val="clear" w:color="auto" w:fill="FFFFFF"/>
            <w:vAlign w:val="center"/>
          </w:tcPr>
          <w:p>
            <w:pPr>
              <w:jc w:val="left"/>
            </w:pPr>
            <w:r>
              <w:rPr>
                <w:rFonts w:ascii="Calibri" w:hAnsi="Calibri"/>
                <w:b w:val="0"/>
                <w:i w:val="0"/>
                <w:color w:val="2C2C2C"/>
                <w:sz w:val="20"/>
              </w:rPr>
              <w:t>BASE (LOCAL_ONE)</w:t>
            </w:r>
          </w:p>
        </w:tc>
      </w:tr>
      <w:tr>
        <w:tc>
          <w:tcPr>
            <w:tcW w:type="dxa" w:w="2160"/>
            <w:shd w:val="clear" w:color="auto" w:fill="EFF4FA"/>
            <w:vAlign w:val="center"/>
          </w:tcPr>
          <w:p>
            <w:pPr>
              <w:jc w:val="left"/>
            </w:pPr>
            <w:r>
              <w:rPr>
                <w:rFonts w:ascii="Calibri" w:hAnsi="Calibri"/>
                <w:b w:val="0"/>
                <w:i w:val="0"/>
                <w:color w:val="2C2C2C"/>
                <w:sz w:val="20"/>
              </w:rPr>
              <w:t>MongoDB</w:t>
            </w:r>
          </w:p>
        </w:tc>
        <w:tc>
          <w:tcPr>
            <w:tcW w:type="dxa" w:w="1008"/>
            <w:shd w:val="clear" w:color="auto" w:fill="EFF4FA"/>
            <w:vAlign w:val="center"/>
          </w:tcPr>
          <w:p>
            <w:pPr>
              <w:jc w:val="left"/>
            </w:pPr>
            <w:r>
              <w:rPr>
                <w:rFonts w:ascii="Calibri" w:hAnsi="Calibri"/>
                <w:b w:val="0"/>
                <w:i w:val="0"/>
                <w:color w:val="2C2C2C"/>
                <w:sz w:val="20"/>
              </w:rPr>
              <w:t>7.0</w:t>
            </w:r>
          </w:p>
        </w:tc>
        <w:tc>
          <w:tcPr>
            <w:tcW w:type="dxa" w:w="5040"/>
            <w:shd w:val="clear" w:color="auto" w:fill="EFF4FA"/>
            <w:vAlign w:val="center"/>
          </w:tcPr>
          <w:p>
            <w:pPr>
              <w:jc w:val="left"/>
            </w:pPr>
            <w:r>
              <w:rPr>
                <w:rFonts w:ascii="Calibri" w:hAnsi="Calibri"/>
                <w:b w:val="0"/>
                <w:i w:val="0"/>
                <w:color w:val="2C2C2C"/>
                <w:sz w:val="20"/>
              </w:rPr>
              <w:t>Document store — clinical entities (patients, beds, orders, alerts) with ACID atomic updates.</w:t>
            </w:r>
          </w:p>
        </w:tc>
        <w:tc>
          <w:tcPr>
            <w:tcW w:type="dxa" w:w="2016"/>
            <w:shd w:val="clear" w:color="auto" w:fill="EFF4FA"/>
            <w:vAlign w:val="center"/>
          </w:tcPr>
          <w:p>
            <w:pPr>
              <w:jc w:val="left"/>
            </w:pPr>
            <w:r>
              <w:rPr>
                <w:rFonts w:ascii="Calibri" w:hAnsi="Calibri"/>
                <w:b w:val="0"/>
                <w:i w:val="0"/>
                <w:color w:val="2C2C2C"/>
                <w:sz w:val="20"/>
              </w:rPr>
              <w:t>ACID (findOneAndUpdate)</w:t>
            </w:r>
          </w:p>
        </w:tc>
      </w:tr>
    </w:tbl>
    <w:p/>
    <w:p>
      <w:pPr>
        <w:spacing w:before="200" w:after="60"/>
      </w:pPr>
      <w:r>
        <w:rPr>
          <w:rFonts w:ascii="Calibri" w:hAnsi="Calibri"/>
          <w:b/>
          <w:i w:val="0"/>
          <w:color w:val="007A87"/>
          <w:sz w:val="23"/>
        </w:rPr>
        <w:t>2.1  Apache Kafka — Streaming Ingestion</w:t>
      </w:r>
    </w:p>
    <w:p>
      <w:pPr>
        <w:spacing w:before="0" w:after="80"/>
        <w:jc w:val="both"/>
      </w:pPr>
      <w:r>
        <w:rPr>
          <w:rFonts w:ascii="Calibri" w:hAnsi="Calibri"/>
          <w:b w:val="0"/>
          <w:i w:val="0"/>
          <w:color w:val="2C2C2C"/>
          <w:sz w:val="22"/>
        </w:rPr>
        <w:t>Kafka acts as the central nervous system of the pipeline. The VitalDB simulator (`simulator/monitor_sim.py`) reads real surgical recordings and publishes them to the `vitals.raw` topic at configurable replay speeds (up to 10× real time). The topic is partitioned into six dedicated partitions — one per Operating Room — using `or_id` as the Kafka message key (e.g. `b"OR-1"`). This guarantees strict chronological ordering of all telemetry from a given room without requiring distributed time synchronisation, because Kafka preserves ordering within a partition. The consumer group pattern allows Flink and the Cassandra consumer to read the same stream independently and at their own pace.</w:t>
      </w:r>
    </w:p>
    <w:p>
      <w:pPr>
        <w:pStyle w:val="ListBullet"/>
        <w:spacing w:after="40"/>
        <w:ind w:left="432"/>
      </w:pPr>
      <w:r>
        <w:rPr>
          <w:rFonts w:ascii="Calibri" w:hAnsi="Calibri"/>
          <w:b w:val="0"/>
          <w:i w:val="0"/>
          <w:color w:val="2C2C2C"/>
          <w:sz w:val="22"/>
        </w:rPr>
        <w:t>Topics: vitals.raw (6 partitions) · alerts.raised · alerts.acknowledged · escalations</w:t>
      </w:r>
    </w:p>
    <w:p>
      <w:pPr>
        <w:pStyle w:val="ListBullet"/>
        <w:spacing w:after="40"/>
        <w:ind w:left="432"/>
      </w:pPr>
      <w:r>
        <w:rPr>
          <w:rFonts w:ascii="Calibri" w:hAnsi="Calibri"/>
          <w:b w:val="0"/>
          <w:i w:val="0"/>
          <w:color w:val="2C2C2C"/>
          <w:sz w:val="22"/>
        </w:rPr>
        <w:t>Kafka Message Payload: patient_id, or_id, case_id, timestamp, hr, syst_bp, dias_bp, o2_sat, temp_c, etco2</w:t>
      </w:r>
    </w:p>
    <w:p>
      <w:pPr>
        <w:pStyle w:val="ListBullet"/>
        <w:spacing w:after="40"/>
        <w:ind w:left="432"/>
      </w:pPr>
      <w:r>
        <w:rPr>
          <w:rFonts w:ascii="Calibri" w:hAnsi="Calibri"/>
          <w:b w:val="0"/>
          <w:i w:val="0"/>
          <w:color w:val="2C2C2C"/>
          <w:sz w:val="22"/>
        </w:rPr>
        <w:t>NaN/missing VitalDB sensor values are filtered in the simulator before publication to prevent downstream type-cast exceptions.</w:t>
      </w:r>
    </w:p>
    <w:p>
      <w:pPr>
        <w:spacing w:before="200" w:after="60"/>
      </w:pPr>
      <w:r>
        <w:rPr>
          <w:rFonts w:ascii="Calibri" w:hAnsi="Calibri"/>
          <w:b/>
          <w:i w:val="0"/>
          <w:color w:val="007A87"/>
          <w:sz w:val="23"/>
        </w:rPr>
        <w:t>2.2  Apache Flink — Real-Time Stream Processing</w:t>
      </w:r>
    </w:p>
    <w:p>
      <w:pPr>
        <w:spacing w:before="0" w:after="80"/>
        <w:jc w:val="both"/>
      </w:pPr>
      <w:r>
        <w:rPr>
          <w:rFonts w:ascii="Calibri" w:hAnsi="Calibri"/>
          <w:b w:val="0"/>
          <w:i w:val="0"/>
          <w:color w:val="2C2C2C"/>
          <w:sz w:val="22"/>
        </w:rPr>
        <w:t>Apache Flink consumes `vitals.raw` via PyFlink's DataStream API and performs two distinct stateful stream processing jobs:</w:t>
      </w:r>
    </w:p>
    <w:p>
      <w:pPr>
        <w:spacing w:before="0" w:after="120"/>
        <w:jc w:val="both"/>
      </w:pPr>
      <w:r>
        <w:rPr>
          <w:rFonts w:ascii="Calibri" w:hAnsi="Calibri"/>
          <w:b w:val="0"/>
          <w:i w:val="0"/>
          <w:color w:val="2C2C2C"/>
          <w:sz w:val="22"/>
        </w:rPr>
        <w:t>Job 1 — Alert Detection (`flink/jobs/alert_detection.py`): The stream is keyed by `patient_id` using a `KeyedProcessFunction`. Per-patient state tracks the last timestamp at which each alert type was raised. Threshold evaluations are applied every second: BP_LOW (&lt;90 mmHg), BP_HIGH (&gt;160 mmHg), HR_LOW (&lt;45 bpm), HR_HIGH (&gt;120 bpm), O2_FALLING (&lt;90%), TEMP_HIGH (&gt;38.5°C). If a threshold is breached but the same alert type was already raised within the past 300 seconds (5 minutes), the event is suppressed — preventing alert fatigue. Valid alerts are emitted to the `alerts.raised` Kafka topic.</w:t>
      </w:r>
    </w:p>
    <w:p>
      <w:pPr>
        <w:spacing w:before="0" w:after="120"/>
        <w:jc w:val="both"/>
      </w:pPr>
      <w:r>
        <w:rPr>
          <w:rFonts w:ascii="Calibri" w:hAnsi="Calibri"/>
          <w:b w:val="0"/>
          <w:i w:val="0"/>
          <w:color w:val="2C2C2C"/>
          <w:sz w:val="22"/>
        </w:rPr>
        <w:t>Job 2 — Escalation Timer (`flink/jobs/escalation_timer.py`): A second `KeyedProcessFunction` unions `alerts.raised` and `alerts.acknowledged` streams. On alert arrival, Flink stores the alert in managed state, sets `_acked = False`, and registers a processing-time timer at T + 10 minutes. If a nurse acknowledges the alert on the dashboard, FastAPI publishes to `alerts.acknowledged` and the consumer flips `_acked = True`. When `on_timer()` fires: if `_acked == False`, the alert is escalated by inserting an escalation document into MongoDB.</w:t>
      </w:r>
    </w:p>
    <w:p>
      <w:pPr>
        <w:spacing w:before="200" w:after="60"/>
      </w:pPr>
      <w:r>
        <w:rPr>
          <w:rFonts w:ascii="Calibri" w:hAnsi="Calibri"/>
          <w:b/>
          <w:i w:val="0"/>
          <w:color w:val="007A87"/>
          <w:sz w:val="23"/>
        </w:rPr>
        <w:t>2.3  Apache Cassandra — Time-Series Storage</w:t>
      </w:r>
    </w:p>
    <w:p>
      <w:pPr>
        <w:spacing w:before="0" w:after="80"/>
        <w:jc w:val="both"/>
      </w:pPr>
      <w:r>
        <w:rPr>
          <w:rFonts w:ascii="Calibri" w:hAnsi="Calibri"/>
          <w:b w:val="0"/>
          <w:i w:val="0"/>
          <w:color w:val="2C2C2C"/>
          <w:sz w:val="22"/>
        </w:rPr>
        <w:t>Cassandra is the write-optimised backbone for all historical vital sign telemetry. At 1 Hz across 6 ORs, the system generates up to 518,400 data points per day. Three denormalised tables are maintained to serve different query patterns:</w:t>
      </w:r>
    </w:p>
    <w:p>
      <w:pPr>
        <w:pStyle w:val="ListBullet"/>
        <w:spacing w:after="40"/>
        <w:ind w:left="432"/>
      </w:pPr>
      <w:r>
        <w:rPr>
          <w:rFonts w:ascii="Calibri" w:hAnsi="Calibri"/>
          <w:b w:val="0"/>
          <w:i w:val="0"/>
          <w:color w:val="2C2C2C"/>
          <w:sz w:val="22"/>
        </w:rPr>
        <w:t>vitals_by_patient_day  — Historical query by patient and date (composite key: patient_id, reading_date, ts).</w:t>
      </w:r>
    </w:p>
    <w:p>
      <w:pPr>
        <w:pStyle w:val="ListBullet"/>
        <w:spacing w:after="40"/>
        <w:ind w:left="432"/>
      </w:pPr>
      <w:r>
        <w:rPr>
          <w:rFonts w:ascii="Calibri" w:hAnsi="Calibri"/>
          <w:b w:val="0"/>
          <w:i w:val="0"/>
          <w:color w:val="2C2C2C"/>
          <w:sz w:val="22"/>
        </w:rPr>
        <w:t>vitals_by_or_day       — Historical query by OR and date (composite key: or_id, reading_date, ts).</w:t>
      </w:r>
    </w:p>
    <w:p>
      <w:pPr>
        <w:pStyle w:val="ListBullet"/>
        <w:spacing w:after="40"/>
        <w:ind w:left="432"/>
      </w:pPr>
      <w:r>
        <w:rPr>
          <w:rFonts w:ascii="Calibri" w:hAnsi="Calibri"/>
          <w:b w:val="0"/>
          <w:i w:val="0"/>
          <w:color w:val="2C2C2C"/>
          <w:sz w:val="22"/>
        </w:rPr>
        <w:t>latest_vitals_by_or    — Instantaneous snapshot for the live UI (single-row hot lookup per OR).</w:t>
      </w:r>
    </w:p>
    <w:p>
      <w:pPr>
        <w:spacing w:before="0" w:after="120"/>
        <w:jc w:val="both"/>
      </w:pPr>
      <w:r>
        <w:rPr>
          <w:rFonts w:ascii="Calibri" w:hAnsi="Calibri"/>
          <w:b w:val="0"/>
          <w:i w:val="0"/>
          <w:color w:val="2C2C2C"/>
          <w:sz w:val="22"/>
        </w:rPr>
        <w:t>The Cassandra consumer (`backend/consumer/consumer_cassandra.py`) uses the DataStax Python Driver with prepared CQL statements. Writes are grouped into BatchStatements of 50 rows each, committed with `ConsistencyLevel.LOCAL_ONE`. This batching strategy reduces TCP round trips and sustains throughput of 185+ rows/sec. The schema uses TimeWindowCompactionStrategy (TWCS) with 1-day windows: once a day's SSTables are sealed, they are never re-compacted, eliminating the disk I/O amplification caused by default Size-Tiered Compaction and maintaining sub-5 ms write latencies.</w:t>
      </w:r>
    </w:p>
    <w:p>
      <w:pPr>
        <w:spacing w:before="200" w:after="60"/>
      </w:pPr>
      <w:r>
        <w:rPr>
          <w:rFonts w:ascii="Calibri" w:hAnsi="Calibri"/>
          <w:b/>
          <w:i w:val="0"/>
          <w:color w:val="007A87"/>
          <w:sz w:val="23"/>
        </w:rPr>
        <w:t>2.4  MongoDB — Transactional &amp; Entity Storage</w:t>
      </w:r>
    </w:p>
    <w:p>
      <w:pPr>
        <w:spacing w:before="0" w:after="80"/>
        <w:jc w:val="both"/>
      </w:pPr>
      <w:r>
        <w:rPr>
          <w:rFonts w:ascii="Calibri" w:hAnsi="Calibri"/>
          <w:b w:val="0"/>
          <w:i w:val="0"/>
          <w:color w:val="2C2C2C"/>
          <w:sz w:val="22"/>
        </w:rPr>
        <w:t>MongoDB stores all structured clinical entities — patients, operating cases, bed assignments, medication orders, and raised alerts. Two critical safety mechanisms are implemented here:</w:t>
      </w:r>
    </w:p>
    <w:p>
      <w:pPr>
        <w:spacing w:before="0" w:after="120"/>
        <w:jc w:val="both"/>
      </w:pPr>
      <w:r>
        <w:rPr>
          <w:rFonts w:ascii="Calibri" w:hAnsi="Calibri"/>
          <w:b w:val="0"/>
          <w:i w:val="0"/>
          <w:color w:val="2C2C2C"/>
          <w:sz w:val="22"/>
        </w:rPr>
        <w:t>ACID Bed Reservation (`backend/app/api/beds.py`): The endpoint uses a single atomic `findOneAndUpdate` call with the filter `{bed_id: req.bed_id, status: 'available'}`. If the bed is already occupied, the query matches zero documents and returns None — immediately raising a `409 Conflict`. This eliminates the classic check-then-act race condition where two concurrent nurses could both read 'available' and both write 'occupied'.</w:t>
      </w:r>
    </w:p>
    <w:p>
      <w:pPr>
        <w:spacing w:before="0" w:after="120"/>
        <w:jc w:val="both"/>
      </w:pPr>
      <w:r>
        <w:rPr>
          <w:rFonts w:ascii="Calibri" w:hAnsi="Calibri"/>
          <w:b w:val="0"/>
          <w:i w:val="0"/>
          <w:color w:val="2C2C2C"/>
          <w:sz w:val="22"/>
        </w:rPr>
        <w:t>Drug-Allergy Safety Engine (`backend/app/api/orders.py`): Before any medication order is persisted, the API queries the patient's documented allergy list and cross-references it against a curated pharmacological cross-reactivity map (`DRUG_ALLERGY_MAP`). For example, prescribing amoxicillin to a patient with a documented penicillin allergy is intercepted and rejected with `HTTP 422 Unprocessable Entity` — the order is never written to the database.</w:t>
      </w:r>
    </w:p>
    <w:p>
      <w:pPr>
        <w:spacing w:before="200" w:after="60"/>
      </w:pPr>
      <w:r>
        <w:rPr>
          <w:rFonts w:ascii="Calibri" w:hAnsi="Calibri"/>
          <w:b/>
          <w:i w:val="0"/>
          <w:color w:val="007A87"/>
          <w:sz w:val="23"/>
        </w:rPr>
        <w:t>2.5  FastAPI + React — Backend API &amp; Dashboard</w:t>
      </w:r>
    </w:p>
    <w:p>
      <w:pPr>
        <w:spacing w:before="0" w:after="80"/>
        <w:jc w:val="both"/>
      </w:pPr>
      <w:r>
        <w:rPr>
          <w:rFonts w:ascii="Calibri" w:hAnsi="Calibri"/>
          <w:b w:val="0"/>
          <w:i w:val="0"/>
          <w:color w:val="2C2C2C"/>
          <w:sz w:val="22"/>
        </w:rPr>
        <w:t>FastAPI (`backend/app/main.py`) serves as the asynchronous web tier, exposing REST endpoints for beds, orders, alerts, and cases, alongside a WebSocket hub (`/ws`) that broadcasts real-time vital sign updates to all connected dashboard clients. The React 18 frontend (built with Vite and uPlot for high-performance waveform rendering) presents a 6-bed OR grid, an alert queue, and a bed board using a minimal light clinical aesthetic — modelled after clinical software like Philips IntelliVue — to reduce ocular fatigue for surgical staff.</w:t>
      </w:r>
    </w:p>
    <w:p>
      <w:pPr>
        <w:spacing w:before="80" w:after="80"/>
        <w:pBdr>
          <w:bottom w:val="single" w:sz="4" w:space="1" w:color="CCDDEE"/>
        </w:pBdr>
      </w:pPr>
    </w:p>
    <w:p>
      <w:pPr>
        <w:spacing w:before="360" w:after="120"/>
        <w:pBdr>
          <w:bottom w:val="single" w:sz="6" w:space="4" w:color="0D2B4E"/>
        </w:pBdr>
      </w:pPr>
      <w:r>
        <w:rPr>
          <w:rFonts w:ascii="Calibri" w:hAnsi="Calibri"/>
          <w:b/>
          <w:i w:val="0"/>
          <w:color w:val="0D2B4E"/>
          <w:sz w:val="26"/>
        </w:rPr>
        <w:t>3. END-TO-END SYSTEM ARCHITECTURE &amp; DATA FLOW</w:t>
      </w:r>
    </w:p>
    <w:p>
      <w:pPr>
        <w:spacing w:before="0" w:after="80"/>
        <w:jc w:val="both"/>
      </w:pPr>
      <w:r>
        <w:rPr>
          <w:rFonts w:ascii="Calibri" w:hAnsi="Calibri"/>
          <w:b w:val="0"/>
          <w:i w:val="0"/>
          <w:color w:val="2C2C2C"/>
          <w:sz w:val="22"/>
        </w:rPr>
        <w:t>The architecture follows a clear unidirectional event-driven pipeline. Data originates from the VitalDB dataset, flows through Kafka, branches into two parallel processing paths, and ultimately reaches the clinical dashboard via WebSocket push.</w:t>
      </w:r>
    </w:p>
    <w:tbl>
      <w:tblPr>
        <w:tblW w:type="auto" w:w="0"/>
        <w:jc w:val="center"/>
        <w:tblLook w:firstColumn="1" w:firstRow="1" w:lastColumn="0" w:lastRow="0" w:noHBand="0" w:noVBand="1" w:val="04A0"/>
      </w:tblPr>
      <w:tblGrid>
        <w:gridCol w:w="8784"/>
      </w:tblGrid>
      <w:tr>
        <w:tc>
          <w:tcPr>
            <w:tcW w:type="dxa" w:w="8784"/>
            <w:shd w:val="clear" w:color="auto" w:fill="EFF4FA"/>
          </w:tcPr>
          <w:p>
            <w:pPr>
              <w:spacing w:before="120" w:after="120"/>
              <w:jc w:val="left"/>
            </w:pPr>
            <w:r>
              <w:rPr>
                <w:rFonts w:ascii="Courier New" w:hAnsi="Courier New"/>
                <w:b w:val="0"/>
                <w:i w:val="0"/>
                <w:color w:val="0D2B4E"/>
                <w:sz w:val="18"/>
              </w:rPr>
              <w:t xml:space="preserve">  VitalDB Dataset (6,388 real surgical cases)</w:t>
              <w:br/>
              <w:t xml:space="preserve">        │</w:t>
              <w:br/>
              <w:t xml:space="preserve">        ▼</w:t>
              <w:br/>
              <w:t xml:space="preserve">  [Simulator: monitor_sim.py]  ──►  Kafka: vitals.raw  (6 OR partitions)</w:t>
              <w:br/>
              <w:t xml:space="preserve">                                          │</w:t>
              <w:br/>
              <w:t xml:space="preserve">                  ┌───────────────────────┴────────────────────────┐</w:t>
              <w:br/>
              <w:t xml:space="preserve">                  ▼                                                ▼</w:t>
              <w:br/>
              <w:t xml:space="preserve">         [Apache Flink 1.18]                         [Cassandra Consumer]</w:t>
              <w:br/>
              <w:t xml:space="preserve">    Job 1: alert_detection.py               consumer_cassandra.py</w:t>
              <w:br/>
              <w:t xml:space="preserve">    Job 2: escalation_timer.py                       │</w:t>
              <w:br/>
              <w:t xml:space="preserve">                  │                                  ▼</w:t>
              <w:br/>
              <w:t xml:space="preserve">                  ▼                         Apache Cassandra 4.1</w:t>
              <w:br/>
              <w:t xml:space="preserve">           alerts.raised ─────────►   vitals_by_patient_day</w:t>
              <w:br/>
              <w:t xml:space="preserve">           alerts.acknowledged         vitals_by_or_day</w:t>
              <w:br/>
              <w:t xml:space="preserve">                  │                    latest_vitals_by_or</w:t>
              <w:br/>
              <w:t xml:space="preserve">                  ▼</w:t>
              <w:br/>
              <w:t xml:space="preserve">            MongoDB 7.0</w:t>
              <w:br/>
              <w:t xml:space="preserve">    (alerts · cases · beds · orders · escalations)</w:t>
              <w:br/>
              <w:t xml:space="preserve">                  │</w:t>
              <w:br/>
              <w:t xml:space="preserve">                  ▼</w:t>
              <w:br/>
              <w:t xml:space="preserve">   FastAPI + WebSocket  ──►  React 18 Dashboard  (localhost:5173)</w:t>
              <w:br/>
              <w:t xml:space="preserve">                              6-bed OR Grid · Alert Queue · Bed Board</w:t>
            </w:r>
          </w:p>
        </w:tc>
      </w:tr>
    </w:tbl>
    <w:p/>
    <w:p>
      <w:pPr>
        <w:spacing w:before="200" w:after="60"/>
      </w:pPr>
      <w:r>
        <w:rPr>
          <w:rFonts w:ascii="Calibri" w:hAnsi="Calibri"/>
          <w:b/>
          <w:i w:val="0"/>
          <w:color w:val="007A87"/>
          <w:sz w:val="23"/>
        </w:rPr>
        <w:t>Data Flow Narrative</w:t>
      </w:r>
    </w:p>
    <w:p>
      <w:pPr>
        <w:spacing w:before="0" w:after="80"/>
        <w:jc w:val="both"/>
      </w:pPr>
      <w:r>
        <w:rPr>
          <w:rFonts w:ascii="Calibri" w:hAnsi="Calibri"/>
          <w:b w:val="0"/>
          <w:i w:val="0"/>
          <w:color w:val="2C2C2C"/>
          <w:sz w:val="22"/>
        </w:rPr>
        <w:t>Step 1 — Ingestion: The simulator reads a real VitalDB surgical case and publishes one telemetry packet per second per OR to `vitals.raw`. Each packet carries six vital parameters: HR, Systolic BP, Diastolic BP, SpO₂, Temperature, and EtCO₂.</w:t>
      </w:r>
    </w:p>
    <w:p>
      <w:pPr>
        <w:spacing w:before="0" w:after="80"/>
        <w:jc w:val="both"/>
      </w:pPr>
      <w:r>
        <w:rPr>
          <w:rFonts w:ascii="Calibri" w:hAnsi="Calibri"/>
          <w:b w:val="0"/>
          <w:i w:val="0"/>
          <w:color w:val="2C2C2C"/>
          <w:sz w:val="22"/>
        </w:rPr>
        <w:t>Step 2 — Parallel Processing: Two independent consumers read from `vitals.raw` simultaneously. The Cassandra consumer batches 50 rows at a time into time-series tables for historical storage. Flink evaluates every packet against clinical thresholds in real time.</w:t>
      </w:r>
    </w:p>
    <w:p>
      <w:pPr>
        <w:spacing w:before="0" w:after="80"/>
        <w:jc w:val="both"/>
      </w:pPr>
      <w:r>
        <w:rPr>
          <w:rFonts w:ascii="Calibri" w:hAnsi="Calibri"/>
          <w:b w:val="0"/>
          <w:i w:val="0"/>
          <w:color w:val="2C2C2C"/>
          <w:sz w:val="22"/>
        </w:rPr>
        <w:t>Step 3 — Alerting &amp; Escalation: When Flink detects an anomaly, it emits an alert to `alerts.raised`. MongoDB persists the alert. FastAPI broadcasts the alert over WebSocket to all connected dashboards within milliseconds. If unacknowledged for 10 minutes, Flink escalates it to the charge nurse via the `escalations` collection.</w:t>
      </w:r>
    </w:p>
    <w:p>
      <w:pPr>
        <w:spacing w:before="0" w:after="80"/>
        <w:jc w:val="both"/>
      </w:pPr>
      <w:r>
        <w:rPr>
          <w:rFonts w:ascii="Calibri" w:hAnsi="Calibri"/>
          <w:b w:val="0"/>
          <w:i w:val="0"/>
          <w:color w:val="2C2C2C"/>
          <w:sz w:val="22"/>
        </w:rPr>
        <w:t>Step 4 — Dashboard: The React dashboard receives live updates via WebSocket, rendering waveforms with uPlot and displaying alert badges on the relevant OR card.</w:t>
      </w:r>
    </w:p>
    <w:p>
      <w:pPr>
        <w:spacing w:before="80" w:after="80"/>
        <w:pBdr>
          <w:bottom w:val="single" w:sz="4" w:space="1" w:color="CCDDEE"/>
        </w:pBdr>
      </w:pPr>
    </w:p>
    <w:p>
      <w:pPr>
        <w:spacing w:before="360" w:after="120"/>
        <w:pBdr>
          <w:bottom w:val="single" w:sz="6" w:space="4" w:color="0D2B4E"/>
        </w:pBdr>
      </w:pPr>
      <w:r>
        <w:rPr>
          <w:rFonts w:ascii="Calibri" w:hAnsi="Calibri"/>
          <w:b/>
          <w:i w:val="0"/>
          <w:color w:val="0D2B4E"/>
          <w:sz w:val="26"/>
        </w:rPr>
        <w:t>4. PERFORMANCE EVALUATION &amp; VALIDATION</w:t>
      </w:r>
    </w:p>
    <w:p>
      <w:pPr>
        <w:spacing w:before="200" w:after="60"/>
      </w:pPr>
      <w:r>
        <w:rPr>
          <w:rFonts w:ascii="Calibri" w:hAnsi="Calibri"/>
          <w:b/>
          <w:i w:val="0"/>
          <w:color w:val="007A87"/>
          <w:sz w:val="23"/>
        </w:rPr>
        <w:t>4.1  Cassandra Write Latency — SLA Load Test</w:t>
      </w:r>
    </w:p>
    <w:p>
      <w:pPr>
        <w:spacing w:before="0" w:after="80"/>
        <w:jc w:val="both"/>
      </w:pPr>
      <w:r>
        <w:rPr>
          <w:rFonts w:ascii="Calibri" w:hAnsi="Calibri"/>
          <w:b w:val="0"/>
          <w:i w:val="0"/>
          <w:color w:val="2C2C2C"/>
          <w:sz w:val="22"/>
        </w:rPr>
        <w:t>The load test (`scripts/load_test.py`) simulates continuous high-frequency multi-OR telemetry insertion into Cassandra over 30 seconds, then computes write latency percentiles:</w:t>
      </w:r>
    </w:p>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val="clear" w:color="auto" w:fill="0D2B4E"/>
            <w:vAlign w:val="center"/>
          </w:tcPr>
          <w:p>
            <w:pPr>
              <w:jc w:val="center"/>
            </w:pPr>
            <w:r>
              <w:rPr>
                <w:rFonts w:ascii="Calibri" w:hAnsi="Calibri"/>
                <w:b/>
                <w:i w:val="0"/>
                <w:color w:val="FFFFFF"/>
                <w:sz w:val="20"/>
              </w:rPr>
              <w:t>Percentile</w:t>
            </w:r>
          </w:p>
        </w:tc>
        <w:tc>
          <w:tcPr>
            <w:tcW w:type="dxa" w:w="2016"/>
            <w:shd w:val="clear" w:color="auto" w:fill="0D2B4E"/>
            <w:vAlign w:val="center"/>
          </w:tcPr>
          <w:p>
            <w:pPr>
              <w:jc w:val="center"/>
            </w:pPr>
            <w:r>
              <w:rPr>
                <w:rFonts w:ascii="Calibri" w:hAnsi="Calibri"/>
                <w:b/>
                <w:i w:val="0"/>
                <w:color w:val="FFFFFF"/>
                <w:sz w:val="20"/>
              </w:rPr>
              <w:t>Write Latency</w:t>
            </w:r>
          </w:p>
        </w:tc>
        <w:tc>
          <w:tcPr>
            <w:tcW w:type="dxa" w:w="2016"/>
            <w:shd w:val="clear" w:color="auto" w:fill="0D2B4E"/>
            <w:vAlign w:val="center"/>
          </w:tcPr>
          <w:p>
            <w:pPr>
              <w:jc w:val="center"/>
            </w:pPr>
            <w:r>
              <w:rPr>
                <w:rFonts w:ascii="Calibri" w:hAnsi="Calibri"/>
                <w:b/>
                <w:i w:val="0"/>
                <w:color w:val="FFFFFF"/>
                <w:sz w:val="20"/>
              </w:rPr>
              <w:t>SLA Target</w:t>
            </w:r>
          </w:p>
        </w:tc>
        <w:tc>
          <w:tcPr>
            <w:tcW w:type="dxa" w:w="1440"/>
            <w:shd w:val="clear" w:color="auto" w:fill="0D2B4E"/>
            <w:vAlign w:val="center"/>
          </w:tcPr>
          <w:p>
            <w:pPr>
              <w:jc w:val="center"/>
            </w:pPr>
            <w:r>
              <w:rPr>
                <w:rFonts w:ascii="Calibri" w:hAnsi="Calibri"/>
                <w:b/>
                <w:i w:val="0"/>
                <w:color w:val="FFFFFF"/>
                <w:sz w:val="20"/>
              </w:rPr>
              <w:t>Result</w:t>
            </w:r>
          </w:p>
        </w:tc>
      </w:tr>
      <w:tr>
        <w:tc>
          <w:tcPr>
            <w:tcW w:type="dxa" w:w="1872"/>
            <w:shd w:val="clear" w:color="auto" w:fill="FFFFFF"/>
            <w:vAlign w:val="center"/>
          </w:tcPr>
          <w:p>
            <w:pPr>
              <w:jc w:val="left"/>
            </w:pPr>
            <w:r>
              <w:rPr>
                <w:rFonts w:ascii="Calibri" w:hAnsi="Calibri"/>
                <w:b w:val="0"/>
                <w:i w:val="0"/>
                <w:color w:val="2C2C2C"/>
                <w:sz w:val="20"/>
              </w:rPr>
              <w:t>p50 (Median)</w:t>
            </w:r>
          </w:p>
        </w:tc>
        <w:tc>
          <w:tcPr>
            <w:tcW w:type="dxa" w:w="2016"/>
            <w:shd w:val="clear" w:color="auto" w:fill="FFFFFF"/>
            <w:vAlign w:val="center"/>
          </w:tcPr>
          <w:p>
            <w:pPr>
              <w:jc w:val="left"/>
            </w:pPr>
            <w:r>
              <w:rPr>
                <w:rFonts w:ascii="Calibri" w:hAnsi="Calibri"/>
                <w:b w:val="0"/>
                <w:i w:val="0"/>
                <w:color w:val="2C2C2C"/>
                <w:sz w:val="20"/>
              </w:rPr>
              <w:t>~2.1 ms</w:t>
            </w:r>
          </w:p>
        </w:tc>
        <w:tc>
          <w:tcPr>
            <w:tcW w:type="dxa" w:w="2016"/>
            <w:shd w:val="clear" w:color="auto" w:fill="FFFFFF"/>
            <w:vAlign w:val="center"/>
          </w:tcPr>
          <w:p>
            <w:pPr>
              <w:jc w:val="left"/>
            </w:pPr>
            <w:r>
              <w:rPr>
                <w:rFonts w:ascii="Calibri" w:hAnsi="Calibri"/>
                <w:b w:val="0"/>
                <w:i w:val="0"/>
                <w:color w:val="2C2C2C"/>
                <w:sz w:val="20"/>
              </w:rPr>
              <w:t>&lt; 10 ms</w:t>
            </w:r>
          </w:p>
        </w:tc>
        <w:tc>
          <w:tcPr>
            <w:tcW w:type="dxa" w:w="1440"/>
            <w:shd w:val="clear" w:color="auto" w:fill="FFFFFF"/>
            <w:vAlign w:val="center"/>
          </w:tcPr>
          <w:p>
            <w:pPr>
              <w:jc w:val="left"/>
            </w:pPr>
            <w:r>
              <w:rPr>
                <w:rFonts w:ascii="Calibri" w:hAnsi="Calibri"/>
                <w:b w:val="0"/>
                <w:i w:val="0"/>
                <w:color w:val="2C2C2C"/>
                <w:sz w:val="20"/>
              </w:rPr>
              <w:t>✓ PASS</w:t>
            </w:r>
          </w:p>
        </w:tc>
      </w:tr>
      <w:tr>
        <w:tc>
          <w:tcPr>
            <w:tcW w:type="dxa" w:w="1872"/>
            <w:shd w:val="clear" w:color="auto" w:fill="EFF4FA"/>
            <w:vAlign w:val="center"/>
          </w:tcPr>
          <w:p>
            <w:pPr>
              <w:jc w:val="left"/>
            </w:pPr>
            <w:r>
              <w:rPr>
                <w:rFonts w:ascii="Calibri" w:hAnsi="Calibri"/>
                <w:b w:val="0"/>
                <w:i w:val="0"/>
                <w:color w:val="2C2C2C"/>
                <w:sz w:val="20"/>
              </w:rPr>
              <w:t>p95</w:t>
            </w:r>
          </w:p>
        </w:tc>
        <w:tc>
          <w:tcPr>
            <w:tcW w:type="dxa" w:w="2016"/>
            <w:shd w:val="clear" w:color="auto" w:fill="EFF4FA"/>
            <w:vAlign w:val="center"/>
          </w:tcPr>
          <w:p>
            <w:pPr>
              <w:jc w:val="left"/>
            </w:pPr>
            <w:r>
              <w:rPr>
                <w:rFonts w:ascii="Calibri" w:hAnsi="Calibri"/>
                <w:b w:val="0"/>
                <w:i w:val="0"/>
                <w:color w:val="2C2C2C"/>
                <w:sz w:val="20"/>
              </w:rPr>
              <w:t>~4.9 ms</w:t>
            </w:r>
          </w:p>
        </w:tc>
        <w:tc>
          <w:tcPr>
            <w:tcW w:type="dxa" w:w="2016"/>
            <w:shd w:val="clear" w:color="auto" w:fill="EFF4FA"/>
            <w:vAlign w:val="center"/>
          </w:tcPr>
          <w:p>
            <w:pPr>
              <w:jc w:val="left"/>
            </w:pPr>
            <w:r>
              <w:rPr>
                <w:rFonts w:ascii="Calibri" w:hAnsi="Calibri"/>
                <w:b w:val="0"/>
                <w:i w:val="0"/>
                <w:color w:val="2C2C2C"/>
                <w:sz w:val="20"/>
              </w:rPr>
              <w:t>&lt; 10 ms</w:t>
            </w:r>
          </w:p>
        </w:tc>
        <w:tc>
          <w:tcPr>
            <w:tcW w:type="dxa" w:w="1440"/>
            <w:shd w:val="clear" w:color="auto" w:fill="EFF4FA"/>
            <w:vAlign w:val="center"/>
          </w:tcPr>
          <w:p>
            <w:pPr>
              <w:jc w:val="left"/>
            </w:pPr>
            <w:r>
              <w:rPr>
                <w:rFonts w:ascii="Calibri" w:hAnsi="Calibri"/>
                <w:b w:val="0"/>
                <w:i w:val="0"/>
                <w:color w:val="2C2C2C"/>
                <w:sz w:val="20"/>
              </w:rPr>
              <w:t>✓ PASS</w:t>
            </w:r>
          </w:p>
        </w:tc>
      </w:tr>
      <w:tr>
        <w:tc>
          <w:tcPr>
            <w:tcW w:type="dxa" w:w="1872"/>
            <w:shd w:val="clear" w:color="auto" w:fill="FFFFFF"/>
            <w:vAlign w:val="center"/>
          </w:tcPr>
          <w:p>
            <w:pPr>
              <w:jc w:val="left"/>
            </w:pPr>
            <w:r>
              <w:rPr>
                <w:rFonts w:ascii="Calibri" w:hAnsi="Calibri"/>
                <w:b w:val="0"/>
                <w:i w:val="0"/>
                <w:color w:val="2C2C2C"/>
                <w:sz w:val="20"/>
              </w:rPr>
              <w:t>p99</w:t>
            </w:r>
          </w:p>
        </w:tc>
        <w:tc>
          <w:tcPr>
            <w:tcW w:type="dxa" w:w="2016"/>
            <w:shd w:val="clear" w:color="auto" w:fill="FFFFFF"/>
            <w:vAlign w:val="center"/>
          </w:tcPr>
          <w:p>
            <w:pPr>
              <w:jc w:val="left"/>
            </w:pPr>
            <w:r>
              <w:rPr>
                <w:rFonts w:ascii="Calibri" w:hAnsi="Calibri"/>
                <w:b w:val="0"/>
                <w:i w:val="0"/>
                <w:color w:val="2C2C2C"/>
                <w:sz w:val="20"/>
              </w:rPr>
              <w:t>~7.2 ms</w:t>
            </w:r>
          </w:p>
        </w:tc>
        <w:tc>
          <w:tcPr>
            <w:tcW w:type="dxa" w:w="2016"/>
            <w:shd w:val="clear" w:color="auto" w:fill="FFFFFF"/>
            <w:vAlign w:val="center"/>
          </w:tcPr>
          <w:p>
            <w:pPr>
              <w:jc w:val="left"/>
            </w:pPr>
            <w:r>
              <w:rPr>
                <w:rFonts w:ascii="Calibri" w:hAnsi="Calibri"/>
                <w:b w:val="0"/>
                <w:i w:val="0"/>
                <w:color w:val="2C2C2C"/>
                <w:sz w:val="20"/>
              </w:rPr>
              <w:t>&lt; 10 ms</w:t>
            </w:r>
          </w:p>
        </w:tc>
        <w:tc>
          <w:tcPr>
            <w:tcW w:type="dxa" w:w="1440"/>
            <w:shd w:val="clear" w:color="auto" w:fill="FFFFFF"/>
            <w:vAlign w:val="center"/>
          </w:tcPr>
          <w:p>
            <w:pPr>
              <w:jc w:val="left"/>
            </w:pPr>
            <w:r>
              <w:rPr>
                <w:rFonts w:ascii="Calibri" w:hAnsi="Calibri"/>
                <w:b w:val="0"/>
                <w:i w:val="0"/>
                <w:color w:val="2C2C2C"/>
                <w:sz w:val="20"/>
              </w:rPr>
              <w:t>✓ PASS</w:t>
            </w:r>
          </w:p>
        </w:tc>
      </w:tr>
    </w:tbl>
    <w:p/>
    <w:p>
      <w:pPr>
        <w:spacing w:before="0" w:after="80"/>
        <w:jc w:val="both"/>
      </w:pPr>
      <w:r>
        <w:rPr>
          <w:rFonts w:ascii="Calibri" w:hAnsi="Calibri"/>
          <w:b w:val="0"/>
          <w:i w:val="0"/>
          <w:color w:val="2C2C2C"/>
          <w:sz w:val="22"/>
        </w:rPr>
        <w:t>95% of all writes complete in under 5 ms, exceeding our strict clinical SLA. TWCS compaction is directly responsible: by sealing daily SSTable windows and never re-compacting historical data, Cassandra eliminates background I/O contention during peak ingestion.</w:t>
      </w:r>
    </w:p>
    <w:p>
      <w:pPr>
        <w:spacing w:before="200" w:after="60"/>
      </w:pPr>
      <w:r>
        <w:rPr>
          <w:rFonts w:ascii="Calibri" w:hAnsi="Calibri"/>
          <w:b/>
          <w:i w:val="0"/>
          <w:color w:val="007A87"/>
          <w:sz w:val="23"/>
        </w:rPr>
        <w:t>4.2  Kafka Throughput</w:t>
      </w:r>
    </w:p>
    <w:p>
      <w:pPr>
        <w:pStyle w:val="ListBullet"/>
        <w:spacing w:after="40"/>
        <w:ind w:left="432"/>
      </w:pPr>
      <w:r>
        <w:rPr>
          <w:rFonts w:ascii="Calibri" w:hAnsi="Calibri"/>
          <w:b w:val="0"/>
          <w:i w:val="0"/>
          <w:color w:val="2C2C2C"/>
          <w:sz w:val="22"/>
        </w:rPr>
        <w:t>Sustained ingestion rate: 185+ rows/sec from the Cassandra consumer.</w:t>
      </w:r>
    </w:p>
    <w:p>
      <w:pPr>
        <w:pStyle w:val="ListBullet"/>
        <w:spacing w:after="40"/>
        <w:ind w:left="432"/>
      </w:pPr>
      <w:r>
        <w:rPr>
          <w:rFonts w:ascii="Calibri" w:hAnsi="Calibri"/>
          <w:b w:val="0"/>
          <w:i w:val="0"/>
          <w:color w:val="2C2C2C"/>
          <w:sz w:val="22"/>
        </w:rPr>
        <w:t>Total daily volume: ~518,400 vital sign readings (6 ORs × 1 Hz × 86,400 sec/day).</w:t>
      </w:r>
    </w:p>
    <w:p>
      <w:pPr>
        <w:pStyle w:val="ListBullet"/>
        <w:spacing w:after="40"/>
        <w:ind w:left="432"/>
      </w:pPr>
      <w:r>
        <w:rPr>
          <w:rFonts w:ascii="Calibri" w:hAnsi="Calibri"/>
          <w:b w:val="0"/>
          <w:i w:val="0"/>
          <w:color w:val="2C2C2C"/>
          <w:sz w:val="22"/>
        </w:rPr>
        <w:t>Consumer lag: &lt; 500 ms at 10× playback speed during integration testing.</w:t>
      </w:r>
    </w:p>
    <w:p>
      <w:pPr>
        <w:pStyle w:val="ListBullet"/>
        <w:spacing w:after="40"/>
        <w:ind w:left="432"/>
      </w:pPr>
      <w:r>
        <w:rPr>
          <w:rFonts w:ascii="Calibri" w:hAnsi="Calibri"/>
          <w:b w:val="0"/>
          <w:i w:val="0"/>
          <w:color w:val="2C2C2C"/>
          <w:sz w:val="22"/>
        </w:rPr>
        <w:t>Partition ordering: Zero out-of-order events observed within a single OR partition.</w:t>
      </w:r>
    </w:p>
    <w:p>
      <w:pPr>
        <w:spacing w:before="200" w:after="60"/>
      </w:pPr>
      <w:r>
        <w:rPr>
          <w:rFonts w:ascii="Calibri" w:hAnsi="Calibri"/>
          <w:b/>
          <w:i w:val="0"/>
          <w:color w:val="007A87"/>
          <w:sz w:val="23"/>
        </w:rPr>
        <w:t>4.3  ACID &amp; Safety Validation</w:t>
      </w:r>
    </w:p>
    <w:p>
      <w:pPr>
        <w:spacing w:before="0" w:after="80"/>
        <w:jc w:val="both"/>
      </w:pPr>
      <w:r>
        <w:rPr>
          <w:rFonts w:ascii="Calibri" w:hAnsi="Calibri"/>
          <w:b w:val="0"/>
          <w:i w:val="0"/>
          <w:color w:val="2C2C2C"/>
          <w:sz w:val="22"/>
        </w:rPr>
        <w:t>The following safety behaviours were verified through functional testing:</w:t>
      </w:r>
    </w:p>
    <w:p>
      <w:pPr>
        <w:pStyle w:val="ListBullet"/>
        <w:spacing w:after="40"/>
        <w:ind w:left="432"/>
      </w:pPr>
      <w:r>
        <w:rPr>
          <w:rFonts w:ascii="Calibri" w:hAnsi="Calibri"/>
          <w:b w:val="0"/>
          <w:i w:val="0"/>
          <w:color w:val="2C2C2C"/>
          <w:sz w:val="22"/>
        </w:rPr>
        <w:t>Concurrent Bed Booking: Two simultaneous HTTP POST requests to reserve the same bed result in exactly one success (200 OK) and one rejection (409 Conflict). Zero double-bookings observed across 100 concurrent test requests.</w:t>
      </w:r>
    </w:p>
    <w:p>
      <w:pPr>
        <w:pStyle w:val="ListBullet"/>
        <w:spacing w:after="40"/>
        <w:ind w:left="432"/>
      </w:pPr>
      <w:r>
        <w:rPr>
          <w:rFonts w:ascii="Calibri" w:hAnsi="Calibri"/>
          <w:b w:val="0"/>
          <w:i w:val="0"/>
          <w:color w:val="2C2C2C"/>
          <w:sz w:val="22"/>
        </w:rPr>
        <w:t>Drug-Allergy Interception: Ordering amoxicillin for a patient with a penicillin allergy returns HTTP 422 with message 'Contraindicated: Patient allergic to penicillin'. The order is never written to MongoDB.</w:t>
      </w:r>
    </w:p>
    <w:p>
      <w:pPr>
        <w:pStyle w:val="ListBullet"/>
        <w:spacing w:after="40"/>
        <w:ind w:left="432"/>
      </w:pPr>
      <w:r>
        <w:rPr>
          <w:rFonts w:ascii="Calibri" w:hAnsi="Calibri"/>
          <w:b w:val="0"/>
          <w:i w:val="0"/>
          <w:color w:val="2C2C2C"/>
          <w:sz w:val="22"/>
        </w:rPr>
        <w:t>Alert Deduplication: With systolic BP held below 90 mmHg for 8 minutes, Flink raises exactly 1 alert per 5-minute window (2 alerts total), not 480 per-second alerts.</w:t>
      </w:r>
    </w:p>
    <w:p>
      <w:pPr>
        <w:pStyle w:val="ListBullet"/>
        <w:spacing w:after="40"/>
        <w:ind w:left="432"/>
      </w:pPr>
      <w:r>
        <w:rPr>
          <w:rFonts w:ascii="Calibri" w:hAnsi="Calibri"/>
          <w:b w:val="0"/>
          <w:i w:val="0"/>
          <w:color w:val="2C2C2C"/>
          <w:sz w:val="22"/>
        </w:rPr>
        <w:t>Escalation Timer: An unacknowledged BP_LOW alert is escalated after 10 minutes with severity upgraded to 'critical' in MongoDB.</w:t>
      </w:r>
    </w:p>
    <w:p>
      <w:pPr>
        <w:spacing w:before="80" w:after="80"/>
        <w:pBdr>
          <w:bottom w:val="single" w:sz="4" w:space="1" w:color="CCDDEE"/>
        </w:pBdr>
      </w:pPr>
    </w:p>
    <w:p>
      <w:pPr>
        <w:spacing w:before="360" w:after="120"/>
        <w:pBdr>
          <w:bottom w:val="single" w:sz="6" w:space="4" w:color="0D2B4E"/>
        </w:pBdr>
      </w:pPr>
      <w:r>
        <w:rPr>
          <w:rFonts w:ascii="Calibri" w:hAnsi="Calibri"/>
          <w:b/>
          <w:i w:val="0"/>
          <w:color w:val="0D2B4E"/>
          <w:sz w:val="26"/>
        </w:rPr>
        <w:t>5. TEAM COLLABORATION &amp; KEY LEARNINGS</w:t>
      </w:r>
    </w:p>
    <w:p>
      <w:pPr>
        <w:spacing w:before="200" w:after="60"/>
      </w:pPr>
      <w:r>
        <w:rPr>
          <w:rFonts w:ascii="Calibri" w:hAnsi="Calibri"/>
          <w:b/>
          <w:i w:val="0"/>
          <w:color w:val="007A87"/>
          <w:sz w:val="23"/>
        </w:rPr>
        <w:t>5.1  Team Contribution &amp; Ownership</w:t>
      </w:r>
    </w:p>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val="clear" w:color="auto" w:fill="0D2B4E"/>
            <w:vAlign w:val="center"/>
          </w:tcPr>
          <w:p>
            <w:pPr>
              <w:jc w:val="center"/>
            </w:pPr>
            <w:r>
              <w:rPr>
                <w:rFonts w:ascii="Calibri" w:hAnsi="Calibri"/>
                <w:b/>
                <w:i w:val="0"/>
                <w:color w:val="FFFFFF"/>
                <w:sz w:val="20"/>
              </w:rPr>
              <w:t>Member</w:t>
            </w:r>
          </w:p>
        </w:tc>
        <w:tc>
          <w:tcPr>
            <w:tcW w:type="dxa" w:w="2016"/>
            <w:shd w:val="clear" w:color="auto" w:fill="0D2B4E"/>
            <w:vAlign w:val="center"/>
          </w:tcPr>
          <w:p>
            <w:pPr>
              <w:jc w:val="center"/>
            </w:pPr>
            <w:r>
              <w:rPr>
                <w:rFonts w:ascii="Calibri" w:hAnsi="Calibri"/>
                <w:b/>
                <w:i w:val="0"/>
                <w:color w:val="FFFFFF"/>
                <w:sz w:val="20"/>
              </w:rPr>
              <w:t>Branch</w:t>
            </w:r>
          </w:p>
        </w:tc>
        <w:tc>
          <w:tcPr>
            <w:tcW w:type="dxa" w:w="2880"/>
            <w:shd w:val="clear" w:color="auto" w:fill="0D2B4E"/>
            <w:vAlign w:val="center"/>
          </w:tcPr>
          <w:p>
            <w:pPr>
              <w:jc w:val="center"/>
            </w:pPr>
            <w:r>
              <w:rPr>
                <w:rFonts w:ascii="Calibri" w:hAnsi="Calibri"/>
                <w:b/>
                <w:i w:val="0"/>
                <w:color w:val="FFFFFF"/>
                <w:sz w:val="20"/>
              </w:rPr>
              <w:t>Owned Components</w:t>
            </w:r>
          </w:p>
        </w:tc>
        <w:tc>
          <w:tcPr>
            <w:tcW w:type="dxa" w:w="3312"/>
            <w:shd w:val="clear" w:color="auto" w:fill="0D2B4E"/>
            <w:vAlign w:val="center"/>
          </w:tcPr>
          <w:p>
            <w:pPr>
              <w:jc w:val="center"/>
            </w:pPr>
            <w:r>
              <w:rPr>
                <w:rFonts w:ascii="Calibri" w:hAnsi="Calibri"/>
                <w:b/>
                <w:i w:val="0"/>
                <w:color w:val="FFFFFF"/>
                <w:sz w:val="20"/>
              </w:rPr>
              <w:t>Key Deliverable</w:t>
            </w:r>
          </w:p>
        </w:tc>
      </w:tr>
      <w:tr>
        <w:tc>
          <w:tcPr>
            <w:tcW w:type="dxa" w:w="2016"/>
            <w:shd w:val="clear" w:color="auto" w:fill="FFFFFF"/>
            <w:vAlign w:val="center"/>
          </w:tcPr>
          <w:p>
            <w:pPr>
              <w:jc w:val="left"/>
            </w:pPr>
            <w:r>
              <w:rPr>
                <w:rFonts w:ascii="Calibri" w:hAnsi="Calibri"/>
                <w:b w:val="0"/>
                <w:i w:val="0"/>
                <w:color w:val="2C2C2C"/>
                <w:sz w:val="20"/>
              </w:rPr>
              <w:t>Pushkar Kanjani</w:t>
              <w:br/>
              <w:t>(Lead)</w:t>
            </w:r>
          </w:p>
        </w:tc>
        <w:tc>
          <w:tcPr>
            <w:tcW w:type="dxa" w:w="2016"/>
            <w:shd w:val="clear" w:color="auto" w:fill="FFFFFF"/>
            <w:vAlign w:val="center"/>
          </w:tcPr>
          <w:p>
            <w:pPr>
              <w:jc w:val="left"/>
            </w:pPr>
            <w:r>
              <w:rPr>
                <w:rFonts w:ascii="Calibri" w:hAnsi="Calibri"/>
                <w:b w:val="0"/>
                <w:i w:val="0"/>
                <w:color w:val="2C2C2C"/>
                <w:sz w:val="20"/>
              </w:rPr>
              <w:t>main</w:t>
            </w:r>
          </w:p>
        </w:tc>
        <w:tc>
          <w:tcPr>
            <w:tcW w:type="dxa" w:w="2880"/>
            <w:shd w:val="clear" w:color="auto" w:fill="FFFFFF"/>
            <w:vAlign w:val="center"/>
          </w:tcPr>
          <w:p>
            <w:pPr>
              <w:jc w:val="left"/>
            </w:pPr>
            <w:r>
              <w:rPr>
                <w:rFonts w:ascii="Calibri" w:hAnsi="Calibri"/>
                <w:b w:val="0"/>
                <w:i w:val="0"/>
                <w:color w:val="2C2C2C"/>
                <w:sz w:val="20"/>
              </w:rPr>
              <w:t>MongoDB · FastAPI · React Dashboard</w:t>
            </w:r>
          </w:p>
        </w:tc>
        <w:tc>
          <w:tcPr>
            <w:tcW w:type="dxa" w:w="3312"/>
            <w:shd w:val="clear" w:color="auto" w:fill="FFFFFF"/>
            <w:vAlign w:val="center"/>
          </w:tcPr>
          <w:p>
            <w:pPr>
              <w:jc w:val="left"/>
            </w:pPr>
            <w:r>
              <w:rPr>
                <w:rFonts w:ascii="Calibri" w:hAnsi="Calibri"/>
                <w:b w:val="0"/>
                <w:i w:val="0"/>
                <w:color w:val="2C2C2C"/>
                <w:sz w:val="20"/>
              </w:rPr>
              <w:t>ACID bed locking, allergy engine, WebSocket hub, full UI</w:t>
            </w:r>
          </w:p>
        </w:tc>
      </w:tr>
      <w:tr>
        <w:tc>
          <w:tcPr>
            <w:tcW w:type="dxa" w:w="2016"/>
            <w:shd w:val="clear" w:color="auto" w:fill="EFF4FA"/>
            <w:vAlign w:val="center"/>
          </w:tcPr>
          <w:p>
            <w:pPr>
              <w:jc w:val="left"/>
            </w:pPr>
            <w:r>
              <w:rPr>
                <w:rFonts w:ascii="Calibri" w:hAnsi="Calibri"/>
                <w:b w:val="0"/>
                <w:i w:val="0"/>
                <w:color w:val="2C2C2C"/>
                <w:sz w:val="20"/>
              </w:rPr>
              <w:t>Sachi Shah</w:t>
            </w:r>
          </w:p>
        </w:tc>
        <w:tc>
          <w:tcPr>
            <w:tcW w:type="dxa" w:w="2016"/>
            <w:shd w:val="clear" w:color="auto" w:fill="EFF4FA"/>
            <w:vAlign w:val="center"/>
          </w:tcPr>
          <w:p>
            <w:pPr>
              <w:jc w:val="left"/>
            </w:pPr>
            <w:r>
              <w:rPr>
                <w:rFonts w:ascii="Calibri" w:hAnsi="Calibri"/>
                <w:b w:val="0"/>
                <w:i w:val="0"/>
                <w:color w:val="2C2C2C"/>
                <w:sz w:val="20"/>
              </w:rPr>
              <w:t>member-2-kafka</w:t>
            </w:r>
          </w:p>
        </w:tc>
        <w:tc>
          <w:tcPr>
            <w:tcW w:type="dxa" w:w="2880"/>
            <w:shd w:val="clear" w:color="auto" w:fill="EFF4FA"/>
            <w:vAlign w:val="center"/>
          </w:tcPr>
          <w:p>
            <w:pPr>
              <w:jc w:val="left"/>
            </w:pPr>
            <w:r>
              <w:rPr>
                <w:rFonts w:ascii="Calibri" w:hAnsi="Calibri"/>
                <w:b w:val="0"/>
                <w:i w:val="0"/>
                <w:color w:val="2C2C2C"/>
                <w:sz w:val="20"/>
              </w:rPr>
              <w:t>Kafka Producer · VitalDB Simulator · Cassandra Consumer</w:t>
            </w:r>
          </w:p>
        </w:tc>
        <w:tc>
          <w:tcPr>
            <w:tcW w:type="dxa" w:w="3312"/>
            <w:shd w:val="clear" w:color="auto" w:fill="EFF4FA"/>
            <w:vAlign w:val="center"/>
          </w:tcPr>
          <w:p>
            <w:pPr>
              <w:jc w:val="left"/>
            </w:pPr>
            <w:r>
              <w:rPr>
                <w:rFonts w:ascii="Calibri" w:hAnsi="Calibri"/>
                <w:b w:val="0"/>
                <w:i w:val="0"/>
                <w:color w:val="2C2C2C"/>
                <w:sz w:val="20"/>
              </w:rPr>
              <w:t>monitor_sim.py, consumer_cassandra.py — 185+ rows/sec</w:t>
            </w:r>
          </w:p>
        </w:tc>
      </w:tr>
      <w:tr>
        <w:tc>
          <w:tcPr>
            <w:tcW w:type="dxa" w:w="2016"/>
            <w:shd w:val="clear" w:color="auto" w:fill="FFFFFF"/>
            <w:vAlign w:val="center"/>
          </w:tcPr>
          <w:p>
            <w:pPr>
              <w:jc w:val="left"/>
            </w:pPr>
            <w:r>
              <w:rPr>
                <w:rFonts w:ascii="Calibri" w:hAnsi="Calibri"/>
                <w:b w:val="0"/>
                <w:i w:val="0"/>
                <w:color w:val="2C2C2C"/>
                <w:sz w:val="20"/>
              </w:rPr>
              <w:t>Yug Thakkar</w:t>
            </w:r>
          </w:p>
        </w:tc>
        <w:tc>
          <w:tcPr>
            <w:tcW w:type="dxa" w:w="2016"/>
            <w:shd w:val="clear" w:color="auto" w:fill="FFFFFF"/>
            <w:vAlign w:val="center"/>
          </w:tcPr>
          <w:p>
            <w:pPr>
              <w:jc w:val="left"/>
            </w:pPr>
            <w:r>
              <w:rPr>
                <w:rFonts w:ascii="Calibri" w:hAnsi="Calibri"/>
                <w:b w:val="0"/>
                <w:i w:val="0"/>
                <w:color w:val="2C2C2C"/>
                <w:sz w:val="20"/>
              </w:rPr>
              <w:t>member-3-flink</w:t>
            </w:r>
          </w:p>
        </w:tc>
        <w:tc>
          <w:tcPr>
            <w:tcW w:type="dxa" w:w="2880"/>
            <w:shd w:val="clear" w:color="auto" w:fill="FFFFFF"/>
            <w:vAlign w:val="center"/>
          </w:tcPr>
          <w:p>
            <w:pPr>
              <w:jc w:val="left"/>
            </w:pPr>
            <w:r>
              <w:rPr>
                <w:rFonts w:ascii="Calibri" w:hAnsi="Calibri"/>
                <w:b w:val="0"/>
                <w:i w:val="0"/>
                <w:color w:val="2C2C2C"/>
                <w:sz w:val="20"/>
              </w:rPr>
              <w:t>PyFlink Alert Detection · Escalation Timers</w:t>
            </w:r>
          </w:p>
        </w:tc>
        <w:tc>
          <w:tcPr>
            <w:tcW w:type="dxa" w:w="3312"/>
            <w:shd w:val="clear" w:color="auto" w:fill="FFFFFF"/>
            <w:vAlign w:val="center"/>
          </w:tcPr>
          <w:p>
            <w:pPr>
              <w:jc w:val="left"/>
            </w:pPr>
            <w:r>
              <w:rPr>
                <w:rFonts w:ascii="Calibri" w:hAnsi="Calibri"/>
                <w:b w:val="0"/>
                <w:i w:val="0"/>
                <w:color w:val="2C2C2C"/>
                <w:sz w:val="20"/>
              </w:rPr>
              <w:t>alert_detection.py, escalation_timer.py — 5-min dedup</w:t>
            </w:r>
          </w:p>
        </w:tc>
      </w:tr>
      <w:tr>
        <w:tc>
          <w:tcPr>
            <w:tcW w:type="dxa" w:w="2016"/>
            <w:shd w:val="clear" w:color="auto" w:fill="EFF4FA"/>
            <w:vAlign w:val="center"/>
          </w:tcPr>
          <w:p>
            <w:pPr>
              <w:jc w:val="left"/>
            </w:pPr>
            <w:r>
              <w:rPr>
                <w:rFonts w:ascii="Calibri" w:hAnsi="Calibri"/>
                <w:b w:val="0"/>
                <w:i w:val="0"/>
                <w:color w:val="2C2C2C"/>
                <w:sz w:val="20"/>
              </w:rPr>
              <w:t>Hemang Shreemali</w:t>
            </w:r>
          </w:p>
        </w:tc>
        <w:tc>
          <w:tcPr>
            <w:tcW w:type="dxa" w:w="2016"/>
            <w:shd w:val="clear" w:color="auto" w:fill="EFF4FA"/>
            <w:vAlign w:val="center"/>
          </w:tcPr>
          <w:p>
            <w:pPr>
              <w:jc w:val="left"/>
            </w:pPr>
            <w:r>
              <w:rPr>
                <w:rFonts w:ascii="Calibri" w:hAnsi="Calibri"/>
                <w:b w:val="0"/>
                <w:i w:val="0"/>
                <w:color w:val="2C2C2C"/>
                <w:sz w:val="20"/>
              </w:rPr>
              <w:t>member-4-cassandra</w:t>
            </w:r>
          </w:p>
        </w:tc>
        <w:tc>
          <w:tcPr>
            <w:tcW w:type="dxa" w:w="2880"/>
            <w:shd w:val="clear" w:color="auto" w:fill="EFF4FA"/>
            <w:vAlign w:val="center"/>
          </w:tcPr>
          <w:p>
            <w:pPr>
              <w:jc w:val="left"/>
            </w:pPr>
            <w:r>
              <w:rPr>
                <w:rFonts w:ascii="Calibri" w:hAnsi="Calibri"/>
                <w:b w:val="0"/>
                <w:i w:val="0"/>
                <w:color w:val="2C2C2C"/>
                <w:sz w:val="20"/>
              </w:rPr>
              <w:t>Cassandra Schema · TWCS Compaction · SLA Testing</w:t>
            </w:r>
          </w:p>
        </w:tc>
        <w:tc>
          <w:tcPr>
            <w:tcW w:type="dxa" w:w="3312"/>
            <w:shd w:val="clear" w:color="auto" w:fill="EFF4FA"/>
            <w:vAlign w:val="center"/>
          </w:tcPr>
          <w:p>
            <w:pPr>
              <w:jc w:val="left"/>
            </w:pPr>
            <w:r>
              <w:rPr>
                <w:rFonts w:ascii="Calibri" w:hAnsi="Calibri"/>
                <w:b w:val="0"/>
                <w:i w:val="0"/>
                <w:color w:val="2C2C2C"/>
                <w:sz w:val="20"/>
              </w:rPr>
              <w:t>init_cassandra.cql, load_test.py — p95 &lt; 5 ms</w:t>
            </w:r>
          </w:p>
        </w:tc>
      </w:tr>
    </w:tbl>
    <w:p/>
    <w:p>
      <w:pPr>
        <w:spacing w:before="200" w:after="60"/>
      </w:pPr>
      <w:r>
        <w:rPr>
          <w:rFonts w:ascii="Calibri" w:hAnsi="Calibri"/>
          <w:b/>
          <w:i w:val="0"/>
          <w:color w:val="007A87"/>
          <w:sz w:val="23"/>
        </w:rPr>
        <w:t>5.2  Engineering Learnings</w:t>
      </w:r>
    </w:p>
    <w:p>
      <w:pPr>
        <w:pStyle w:val="ListBullet"/>
        <w:spacing w:after="40"/>
        <w:ind w:left="432"/>
      </w:pPr>
      <w:r>
        <w:rPr>
          <w:rFonts w:ascii="Calibri" w:hAnsi="Calibri"/>
          <w:b w:val="0"/>
          <w:i w:val="0"/>
          <w:color w:val="2C2C2C"/>
          <w:sz w:val="22"/>
        </w:rPr>
        <w:t>Polyglot Persistence: No single database serves all access patterns optimally. Time-series append workloads (Cassandra / BASE) and transactional entity management (MongoDB / ACID) require fundamentally different storage engines.</w:t>
      </w:r>
    </w:p>
    <w:p>
      <w:pPr>
        <w:pStyle w:val="ListBullet"/>
        <w:spacing w:after="40"/>
        <w:ind w:left="432"/>
      </w:pPr>
      <w:r>
        <w:rPr>
          <w:rFonts w:ascii="Calibri" w:hAnsi="Calibri"/>
          <w:b w:val="0"/>
          <w:i w:val="0"/>
          <w:color w:val="2C2C2C"/>
          <w:sz w:val="22"/>
        </w:rPr>
        <w:t>Stream vs. Batch Processing: Processing live sensor data in a request-response web framework (FastAPI) would block the event loop. Purpose-built stream processors (Flink) handle out-of-order events, stateful windows, and millisecond-level throughput natively.</w:t>
      </w:r>
    </w:p>
    <w:p>
      <w:pPr>
        <w:pStyle w:val="ListBullet"/>
        <w:spacing w:after="40"/>
        <w:ind w:left="432"/>
      </w:pPr>
      <w:r>
        <w:rPr>
          <w:rFonts w:ascii="Calibri" w:hAnsi="Calibri"/>
          <w:b w:val="0"/>
          <w:i w:val="0"/>
          <w:color w:val="2C2C2C"/>
          <w:sz w:val="22"/>
        </w:rPr>
        <w:t>Stateful Stream Processing: Flink's managed state and checkpoint mechanism allowed us to implement alert deduplication and escalation timers without writing any custom distributed locking or timer infrastructure.</w:t>
      </w:r>
    </w:p>
    <w:p>
      <w:pPr>
        <w:pStyle w:val="ListBullet"/>
        <w:spacing w:after="40"/>
        <w:ind w:left="432"/>
      </w:pPr>
      <w:r>
        <w:rPr>
          <w:rFonts w:ascii="Calibri" w:hAnsi="Calibri"/>
          <w:b w:val="0"/>
          <w:i w:val="0"/>
          <w:color w:val="2C2C2C"/>
          <w:sz w:val="22"/>
        </w:rPr>
        <w:t>Partition Design Matters: Using or_id as the Kafka partition key — rather than patient_id or a random key — guarantees chronological ordering of telemetry per OR at zero additional cost.</w:t>
      </w:r>
    </w:p>
    <w:p>
      <w:pPr>
        <w:pStyle w:val="ListBullet"/>
        <w:spacing w:after="40"/>
        <w:ind w:left="432"/>
      </w:pPr>
      <w:r>
        <w:rPr>
          <w:rFonts w:ascii="Calibri" w:hAnsi="Calibri"/>
          <w:b w:val="0"/>
          <w:i w:val="0"/>
          <w:color w:val="2C2C2C"/>
          <w:sz w:val="22"/>
        </w:rPr>
        <w:t>Clinical UX Constraints: Operating room software must use minimal, low-contrast, light aesthetics. High-brightness neon dashboards cause ocular fatigue for surgical staff on 8-hour shifts.</w:t>
      </w:r>
    </w:p>
    <w:p>
      <w:pPr>
        <w:spacing w:before="200" w:after="60"/>
      </w:pPr>
      <w:r>
        <w:rPr>
          <w:rFonts w:ascii="Calibri" w:hAnsi="Calibri"/>
          <w:b/>
          <w:i w:val="0"/>
          <w:color w:val="007A87"/>
          <w:sz w:val="23"/>
        </w:rPr>
        <w:t>5.3  Teamwork &amp; Git Workflow</w:t>
      </w:r>
    </w:p>
    <w:p>
      <w:pPr>
        <w:pStyle w:val="ListBullet"/>
        <w:spacing w:after="40"/>
        <w:ind w:left="432"/>
      </w:pPr>
      <w:r>
        <w:rPr>
          <w:rFonts w:ascii="Calibri" w:hAnsi="Calibri"/>
          <w:b w:val="0"/>
          <w:i w:val="0"/>
          <w:color w:val="2C2C2C"/>
          <w:sz w:val="22"/>
        </w:rPr>
        <w:t>Branching Strategy: Each member worked on a dedicated feature branch (main, member-2-kafka, member-3-flink, member-4-cassandra) to prevent conflicts on shared infrastructure files.</w:t>
      </w:r>
    </w:p>
    <w:p>
      <w:pPr>
        <w:pStyle w:val="ListBullet"/>
        <w:spacing w:after="40"/>
        <w:ind w:left="432"/>
      </w:pPr>
      <w:r>
        <w:rPr>
          <w:rFonts w:ascii="Calibri" w:hAnsi="Calibri"/>
          <w:b w:val="0"/>
          <w:i w:val="0"/>
          <w:color w:val="2C2C2C"/>
          <w:sz w:val="22"/>
        </w:rPr>
        <w:t>Shared API Contract: A strict JSON message envelope for vitals.raw was agreed upon upfront and locked — no member could change field names or topic names without team-wide sign-off.</w:t>
      </w:r>
    </w:p>
    <w:p>
      <w:pPr>
        <w:pStyle w:val="ListBullet"/>
        <w:spacing w:after="40"/>
        <w:ind w:left="432"/>
      </w:pPr>
      <w:r>
        <w:rPr>
          <w:rFonts w:ascii="Calibri" w:hAnsi="Calibri"/>
          <w:b w:val="0"/>
          <w:i w:val="0"/>
          <w:color w:val="2C2C2C"/>
          <w:sz w:val="22"/>
        </w:rPr>
        <w:t>PR Reviews: All pull requests required one reviewer approval before merging to main, ensuring zero regressions on the FastAPI endpoints and MongoDB schema.</w:t>
      </w:r>
    </w:p>
    <w:p>
      <w:pPr>
        <w:pStyle w:val="ListBullet"/>
        <w:spacing w:after="40"/>
        <w:ind w:left="432"/>
      </w:pPr>
      <w:r>
        <w:rPr>
          <w:rFonts w:ascii="Calibri" w:hAnsi="Calibri"/>
          <w:b w:val="0"/>
          <w:i w:val="0"/>
          <w:color w:val="2C2C2C"/>
          <w:sz w:val="22"/>
        </w:rPr>
        <w:t>Merge Conflict Resolution: Conflicts on docker-compose.yml and requirements.txt were the most frequent; resolved via pair review sessions on shared screen.</w:t>
      </w:r>
    </w:p>
    <w:p>
      <w:pPr>
        <w:pStyle w:val="ListBullet"/>
        <w:spacing w:after="40"/>
        <w:ind w:left="432"/>
      </w:pPr>
      <w:r>
        <w:rPr>
          <w:rFonts w:ascii="Calibri" w:hAnsi="Calibri"/>
          <w:b w:val="0"/>
          <w:i w:val="0"/>
          <w:color w:val="2C2C2C"/>
          <w:sz w:val="22"/>
        </w:rPr>
        <w:t>Async Communication: Each module's guide (docs/MEMBER_*_GUIDE.md) served as living documentation and async handoff notes, enabling members to work in parallel without synchronous meetings.</w:t>
      </w:r>
    </w:p>
    <w:p>
      <w:pPr>
        <w:spacing w:before="80" w:after="80"/>
        <w:pBdr>
          <w:bottom w:val="single" w:sz="4" w:space="1" w:color="CCDDEE"/>
        </w:pBdr>
      </w:pPr>
    </w:p>
    <w:p>
      <w:pPr>
        <w:spacing w:before="360" w:after="120"/>
        <w:pBdr>
          <w:bottom w:val="single" w:sz="6" w:space="4" w:color="0D2B4E"/>
        </w:pBdr>
      </w:pPr>
      <w:r>
        <w:rPr>
          <w:rFonts w:ascii="Calibri" w:hAnsi="Calibri"/>
          <w:b/>
          <w:i w:val="0"/>
          <w:color w:val="0D2B4E"/>
          <w:sz w:val="26"/>
        </w:rPr>
        <w:t>6. FUTURE SCOPE &amp; CONCLUSION</w:t>
      </w:r>
    </w:p>
    <w:p>
      <w:pPr>
        <w:spacing w:before="200" w:after="60"/>
      </w:pPr>
      <w:r>
        <w:rPr>
          <w:rFonts w:ascii="Calibri" w:hAnsi="Calibri"/>
          <w:b/>
          <w:i w:val="0"/>
          <w:color w:val="007A87"/>
          <w:sz w:val="23"/>
        </w:rPr>
        <w:t>6.1  Future Enhancements</w:t>
      </w:r>
    </w:p>
    <w:p>
      <w:pPr>
        <w:pStyle w:val="ListBullet"/>
        <w:spacing w:after="40"/>
        <w:ind w:left="432"/>
      </w:pPr>
      <w:r>
        <w:rPr>
          <w:rFonts w:ascii="Calibri" w:hAnsi="Calibri"/>
          <w:b w:val="0"/>
          <w:i w:val="0"/>
          <w:color w:val="2C2C2C"/>
          <w:sz w:val="22"/>
        </w:rPr>
        <w:t>ML-Based Predictive Deterioration Alerts: Train a lightweight LSTM or gradient-boosted model on VitalDB case outcomes to predict haemodynamic instability 5–10 minutes before threshold breach, shifting the system from reactive to proactive monitoring.</w:t>
      </w:r>
    </w:p>
    <w:p>
      <w:pPr>
        <w:pStyle w:val="ListBullet"/>
        <w:spacing w:after="40"/>
        <w:ind w:left="432"/>
      </w:pPr>
      <w:r>
        <w:rPr>
          <w:rFonts w:ascii="Calibri" w:hAnsi="Calibri"/>
          <w:b w:val="0"/>
          <w:i w:val="0"/>
          <w:color w:val="2C2C2C"/>
          <w:sz w:val="22"/>
        </w:rPr>
        <w:t>HL7 / FHIR Integration: Adopt the HL7 FHIR R4 standard for patient demographics, medication orders, and alert records to enable interoperability with real hospital EHR systems (Epic, Cerner).</w:t>
      </w:r>
    </w:p>
    <w:p>
      <w:pPr>
        <w:pStyle w:val="ListBullet"/>
        <w:spacing w:after="40"/>
        <w:ind w:left="432"/>
      </w:pPr>
      <w:r>
        <w:rPr>
          <w:rFonts w:ascii="Calibri" w:hAnsi="Calibri"/>
          <w:b w:val="0"/>
          <w:i w:val="0"/>
          <w:color w:val="2C2C2C"/>
          <w:sz w:val="22"/>
        </w:rPr>
        <w:t>Multi-Hospital Deployment: Replace single-node Docker Compose with a Kubernetes cluster and Kafka multi-region replication to support concurrent OR monitoring across multiple hospital sites.</w:t>
      </w:r>
    </w:p>
    <w:p>
      <w:pPr>
        <w:pStyle w:val="ListBullet"/>
        <w:spacing w:after="40"/>
        <w:ind w:left="432"/>
      </w:pPr>
      <w:r>
        <w:rPr>
          <w:rFonts w:ascii="Calibri" w:hAnsi="Calibri"/>
          <w:b w:val="0"/>
          <w:i w:val="0"/>
          <w:color w:val="2C2C2C"/>
          <w:sz w:val="22"/>
        </w:rPr>
        <w:t>Advanced Cassandra Scaling: Introduce Cassandra's virtual nodes (vnodes) and cross-datacenter replication for geo-redundant vital sign storage with zero data loss.</w:t>
      </w:r>
    </w:p>
    <w:p>
      <w:pPr>
        <w:pStyle w:val="ListBullet"/>
        <w:spacing w:after="40"/>
        <w:ind w:left="432"/>
      </w:pPr>
      <w:r>
        <w:rPr>
          <w:rFonts w:ascii="Calibri" w:hAnsi="Calibri"/>
          <w:b w:val="0"/>
          <w:i w:val="0"/>
          <w:color w:val="2C2C2C"/>
          <w:sz w:val="22"/>
        </w:rPr>
        <w:t>Nurse Shift Handover Summary: Use Flink's session window aggregations to auto-generate a structured patient summary (mean vitals, peak alerts, medication events) at the end of each OR session.</w:t>
      </w:r>
    </w:p>
    <w:p>
      <w:pPr>
        <w:spacing w:before="200" w:after="60"/>
      </w:pPr>
      <w:r>
        <w:rPr>
          <w:rFonts w:ascii="Calibri" w:hAnsi="Calibri"/>
          <w:b/>
          <w:i w:val="0"/>
          <w:color w:val="007A87"/>
          <w:sz w:val="23"/>
        </w:rPr>
        <w:t>6.2  Conclusion</w:t>
      </w:r>
    </w:p>
    <w:p>
      <w:pPr>
        <w:spacing w:before="0" w:after="80"/>
        <w:jc w:val="both"/>
      </w:pPr>
      <w:r>
        <w:rPr>
          <w:rFonts w:ascii="Calibri" w:hAnsi="Calibri"/>
          <w:b w:val="0"/>
          <w:i w:val="0"/>
          <w:color w:val="2C2C2C"/>
          <w:sz w:val="22"/>
        </w:rPr>
        <w:t>VitalStream successfully demonstrates the application of enterprise-grade big data architectures to a high-stakes clinical domain. By combining Apache Kafka's decoupled event streaming, Apache Flink's stateful real-time processing, Apache Cassandra's write-optimised time-series storage, and MongoDB's ACID document transactions, the system achieves the dual mandate of healthcare informatics: high-velocity telemetry ingestion with sub-5 ms write latency and zero-compromise safety guarantees for bed allocation and medication administration.</w:t>
      </w:r>
    </w:p>
    <w:p>
      <w:pPr>
        <w:spacing w:before="0" w:after="80"/>
        <w:jc w:val="both"/>
      </w:pPr>
      <w:r>
        <w:rPr>
          <w:rFonts w:ascii="Calibri" w:hAnsi="Calibri"/>
          <w:b w:val="0"/>
          <w:i w:val="0"/>
          <w:color w:val="2C2C2C"/>
          <w:sz w:val="22"/>
        </w:rPr>
        <w:t>The project provided hands-on experience with the real engineering trade-offs encountered in production distributed systems — partition key design, consistency model selection, stateful stream processing, and polyglot persistence — and reinforced the principle that the correct architectural choice is always context-dependent, not universal.</w:t>
      </w:r>
    </w:p>
    <w:p/>
    <w:p>
      <w:pPr>
        <w:spacing w:before="80" w:after="80"/>
        <w:pBdr>
          <w:bottom w:val="single" w:sz="4" w:space="1" w:color="CCDDEE"/>
        </w:pBdr>
      </w:pPr>
    </w:p>
    <w:p>
      <w:pPr>
        <w:jc w:val="center"/>
      </w:pPr>
      <w:r>
        <w:rPr>
          <w:rFonts w:ascii="Calibri" w:hAnsi="Calibri"/>
          <w:b w:val="0"/>
          <w:i/>
          <w:color w:val="555555"/>
          <w:sz w:val="17"/>
        </w:rPr>
        <w:t>VitalStream — Big Data Analytics Lab Report  |  github.com/PushkarKanjani/VitalStream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