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120" w:before="240" w:line="360" w:lineRule="auto"/>
        <w:jc w:val="center"/>
      </w:pPr>
      <w:r>
        <w:rPr>
          <w:rFonts w:ascii="Times New Roman" w:cs="Times New Roman" w:eastAsia="Times New Roman" w:hAnsi="Times New Roman"/>
          <w:b/>
          <w:bCs/>
          <w:color w:val="000000"/>
          <w:sz w:val="32"/>
          <w:szCs w:val="32"/>
        </w:rPr>
        <w:t xml:space="preserve">Cloud Architecture and Services</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bCs/>
          <w:color w:val="000000"/>
          <w:sz w:val="32"/>
          <w:szCs w:val="32"/>
        </w:rPr>
        <w:t xml:space="preserve">Assignment: Design a Prototype of a Containerized Cloud-Based Application</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bCs/>
          <w:color w:val="000000"/>
          <w:sz w:val="28"/>
          <w:szCs w:val="28"/>
        </w:rPr>
        <w:t xml:space="preserve">Project Title:</w:t>
      </w:r>
    </w:p>
    <w:p>
      <w:pPr>
        <w:spacing w:after="80" w:before="80" w:line="360" w:lineRule="auto"/>
        <w:jc w:val="center"/>
      </w:pPr>
      <w:r>
        <w:rPr>
          <w:rFonts w:ascii="Times New Roman" w:cs="Times New Roman" w:eastAsia="Times New Roman" w:hAnsi="Times New Roman"/>
          <w:b/>
          <w:bCs/>
          <w:color w:val="000000"/>
          <w:sz w:val="36"/>
          <w:szCs w:val="36"/>
        </w:rPr>
        <w:t xml:space="preserve">SmartWaste Cloud</w:t>
      </w:r>
    </w:p>
    <w:p>
      <w:pPr>
        <w:spacing w:after="240" w:before="60" w:line="360" w:lineRule="auto"/>
        <w:jc w:val="center"/>
      </w:pPr>
      <w:r>
        <w:rPr>
          <w:rFonts w:ascii="Times New Roman" w:cs="Times New Roman" w:eastAsia="Times New Roman" w:hAnsi="Times New Roman"/>
          <w:b w:val="false"/>
          <w:bCs w:val="false"/>
          <w:color w:val="000000"/>
          <w:sz w:val="24"/>
          <w:szCs w:val="24"/>
        </w:rPr>
        <w:t xml:space="preserve">A Microservices-Based Smart Garbage Collection Architecture</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80" w:before="80" w:line="360" w:lineRule="auto"/>
        <w:jc w:val="center"/>
      </w:pPr>
      <w:r>
        <w:rPr>
          <w:rFonts w:ascii="Times New Roman" w:cs="Times New Roman" w:eastAsia="Times New Roman" w:hAnsi="Times New Roman"/>
          <w:b/>
          <w:bCs/>
          <w:color w:val="000000"/>
          <w:sz w:val="26"/>
          <w:szCs w:val="26"/>
        </w:rPr>
        <w:t xml:space="preserve">Submitted By:</w:t>
      </w:r>
    </w:p>
    <w:p>
      <w:pPr>
        <w:spacing w:line="360" w:lineRule="auto"/>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color w:val="000000"/>
          <w:sz w:val="24"/>
          <w:szCs w:val="24"/>
        </w:rPr>
        <w:t xml:space="preserve">23BIT140  |  Hemang Shreemali</w:t>
      </w:r>
    </w:p>
    <w:p>
      <w:pPr>
        <w:spacing w:after="60" w:before="60" w:line="360" w:lineRule="auto"/>
        <w:jc w:val="center"/>
      </w:pPr>
      <w:r>
        <w:rPr>
          <w:rFonts w:ascii="Times New Roman" w:cs="Times New Roman" w:eastAsia="Times New Roman" w:hAnsi="Times New Roman"/>
          <w:color w:val="000000"/>
          <w:sz w:val="24"/>
          <w:szCs w:val="24"/>
        </w:rPr>
        <w:t xml:space="preserve">23BIT164  |  Soham Gor</w:t>
      </w:r>
    </w:p>
    <w:p>
      <w:pPr>
        <w:spacing w:after="60" w:before="60" w:line="360" w:lineRule="auto"/>
        <w:jc w:val="center"/>
      </w:pPr>
      <w:r>
        <w:rPr>
          <w:rFonts w:ascii="Times New Roman" w:cs="Times New Roman" w:eastAsia="Times New Roman" w:hAnsi="Times New Roman"/>
          <w:color w:val="000000"/>
          <w:sz w:val="24"/>
          <w:szCs w:val="24"/>
        </w:rPr>
        <w:t xml:space="preserve">23BIT142  |  Sachi Shah</w:t>
      </w:r>
    </w:p>
    <w:p>
      <w:pPr>
        <w:spacing w:after="60" w:before="60" w:line="360" w:lineRule="auto"/>
        <w:jc w:val="center"/>
      </w:pPr>
      <w:r>
        <w:rPr>
          <w:rFonts w:ascii="Times New Roman" w:cs="Times New Roman" w:eastAsia="Times New Roman" w:hAnsi="Times New Roman"/>
          <w:color w:val="000000"/>
          <w:sz w:val="24"/>
          <w:szCs w:val="24"/>
        </w:rPr>
        <w:t xml:space="preserve">23BIT153  |  Pushkar Kanjani</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color w:val="000000"/>
          <w:sz w:val="24"/>
          <w:szCs w:val="24"/>
        </w:rPr>
        <w:t xml:space="preserve">Division: 3</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r>
        <w:br w:type="page"/>
      </w:r>
    </w:p>
    <w:p>
      <w:pPr>
        <w:spacing w:after="240" w:before="240" w:line="360" w:lineRule="auto"/>
        <w:jc w:val="center"/>
      </w:pPr>
      <w:r>
        <w:rPr>
          <w:rFonts w:ascii="Times New Roman" w:cs="Times New Roman" w:eastAsia="Times New Roman" w:hAnsi="Times New Roman"/>
          <w:b/>
          <w:bCs/>
          <w:color w:val="000000"/>
          <w:sz w:val="32"/>
          <w:szCs w:val="32"/>
        </w:rPr>
        <w:t xml:space="preserve">SmartWaste Cloud: A Microservices-Based Smart Garbage Collection Architecture</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1. Problem Identification</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Traditional municipal garbage collection systems operate on fixed schedules and predetermined routes, irrespective of the actual fill levels of garbage bins. This inefficiency leads to serious operational and environmental consequences: trucks are dispatched to collect from bins that are still largely empty, wasting fuel, increasing carbon emissions, and driving up operational costs. Conversely, bins that overflow before the scheduled pickup create unhygienic conditions, contribute to public health hazards, attract pests, and result in community complaints. In densely populated urban areas, these issues are magnified, and the inability of conventional systems to respond dynamically to real-time waste accumulation renders them fundamentally inadequate for the demands of a modern smart city.</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SmartWaste Cloud directly addresses these inefficiencies through a digitally enabled, IoT-integrated approach. By deploying sensors at each garbage bin to continuously monitor and report fill levels in real time, the system collects actionable data that replaces guesswork with precision. This data feeds into a centralized cloud-based platform that analyzes bin statuses across the entire city and dynamically computes optimal collection routes. Sanitation trucks are dispatched only when bins reach a defined threshold, eliminating unnecessary trips and ensuring that no bin overflows due to delayed collection. The result is a smarter, leaner, and more responsive waste management ecosystem that conserves resources while maintaining a clean and healthy urban environment.</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2. Application Overview</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SmartWaste Cloud is a full-stack web application that leverages IoT-simulated sensor data to intelligently monitor and manage garbage bins distributed across a city. The platform serves two distinct categories of users: City Administrators and Sanitation Workers. City Administrators interact with a comprehensive dashboard that provides real-time geospatial visualization of all bins, their current fill levels, and the status of ongoing collection operations. Sanitation Workers, on the other hand, access an optimized route viewer that displays their assigned collection path for any given shift, ensuring maximum efficiency and minimal travel time.</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Key functionalities of the system include real-time geospatial visualization powered by an interactive map, role-based access control (RBAC) to ensure each user type sees only the information relevant to their role, and a machine learning-driven route optimization engine that determines the most efficient collection sequence based on current bin data. The application is designed to be scalable, containerized, and cloud-deployable, ensuring that it can grow alongside the needs of any municipal authority, from small townships to large metropolitan cities.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3. Frontend Layer</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The frontend of SmartWaste Cloud is a responsive web interface developed using HTML5, CSS3, and Vanilla JavaScript. The decision to avoid heavy JavaScript frameworks such as React or Angular was deliberate, prioritizing a lightweight and fast-loading client that can be accessed even on lower-end municipal devices or field tablets. The interface is served to end users through an Nginx web server, which acts as both a static file server and a reverse proxy, routing API requests to the appropriate backend microservice.</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The application comprises two major page categories. The first is the Login and Signup module, which handles secure user authentication, role assignment, and session management via JSON Web Tokens. The second is the primary Dashboard, which is the operational heart of the system. The Dashboard features dynamic data charts that visualize bin fill levels over time, a live interactive map that displays the real-time geographical status of all bins in the city, and role-sensitive panels that expose relevant controls and information based on whether the logged-in user is an Administrator or a Sanitation Worker. The frontend communicates with the backend exclusively via RESTful API calls, ensuring a clean separation of concerns between the presentation and business logic layers.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4. Backend Layer</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The backend of SmartWaste Cloud is architected as two distinct microservices, each handling a specific domain of the application's logic. The first microservice is built on Node.js with the Express.js framework and serves as the primary application server. It is responsible for processing all incoming API requests from the frontend, enforcing authentication and authorization rules, executing core business logic such as bin registration and threshold management, and communicating with the PostgreSQL database to persist and retrieve application data. This service acts as the central nervous system of the backend, coordinating all operational workflows.</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The second microservice is developed in Python using the Flask framework and is dedicated exclusively to route optimization. It houses the machine learning algorithms that analyze the current fill-level data of all bins and compute the most efficient collection routes for sanitation vehicles. By isolating this computationally intensive logic into its own service, the architecture ensures that route calculations do not interfere with the responsiveness of the main API. Nginx serves as the entry point for all client requests and intelligently routes traffic: static assets and frontend pages are served directly, while API calls to specific URL prefixes are proxied to either the Node.js service or the Python Flask service, depending on the endpoint.</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5. Containerization Using Docker</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Every component of the SmartWaste Cloud application, including the Nginx-served frontend, the Node.js backend, the Python Flask route optimization service, and the PostgreSQL database, is packaged into its own Docker image. Each image encapsulates all necessary dependencies, runtime configurations, and environment-specific settings, ensuring that the service behaves identically regardless of the host environment. Docker Compose is used to define and orchestrate the entire multi-container stack through a single declarative configuration file, enabling all services to be started, stopped, and managed with a single command.</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The containerized architecture delivers several critical advantages. First, it provides complete portability: the same Docker images that run on a developer's local laptop can be deployed directly to a cloud server without any modification. Second, it ensures consistency across environments, eliminating the classic 'it works on my machine' problem that plagues traditional deployments. Third, it simplifies dependency management by isolating each service's runtime within its own container, preventing version conflicts between the Node.js, Python, and PostgreSQL runtimes. Finally, Docker Compose dramatically simplifies operational management, allowing the entire application stack to be orchestrated through a minimal set of commands, which reduces the barrier to deployment and maintenance for municipal IT teams.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6. Cloud Infrastructure</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The SmartWaste Cloud application is hosted on Amazon Web Services (AWS), utilizing the Free Tier to demonstrate a cost-effective cloud deployment strategy suitable for municipal pilot projects. The entire Dockerized application stack is deployed on an AWS EC2 t2.micro instance, which provides a reliable Linux-based compute environment with sufficient resources for prototyping and demonstration purposes. AWS Security Groups are configured to control inbound and outbound network traffic, exposing only the necessary HTTP and HTTPS ports to the public internet while keeping all inter-service communication within the private internal network.</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For the database layer, PostgreSQL (a relational database management system) was deliberately selected over NoSQL alternatives such as MongoDB or DynamoDB. This decision was driven by the inherently structured and relational nature of the application's core data entities: Users, Bins, and Routes. These entities have well-defined schemas and strong relationships between them (e.g., a Route references multiple Bins, and each Bin is associated with a specific geographical zone and User account). PostgreSQL's strict ACID compliance (Atomicity, Consistency, Isolation, Durability) ensures data integrity during concurrent operations, which is critical for a real-time operational system. The relational model also simplifies complex queries, such as finding all bins above a threshold for a specific district, which would require complex workarounds in a document-based NoSQL system.</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7. System Architecture Diagram</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[Insert Architecture Diagram representing Nginx -&gt; Node.js / Python (Flask) -&gt; PostgreSQL on AWS EC2]</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The architecture follows a layered microservices pattern: the client browser communicates exclusively with the Nginx reverse proxy, which directs frontend requests to static files and API requests to the appropriate backend container. The Node.js and Python Flask containers are isolated within Docker's internal bridge network and communicate with the PostgreSQL database container over a private virtual network. The entire stack is enclosed within an AWS EC2 instance, protected by AWS Security Groups that control external access.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8. Security Considerations</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Security is a foundational concern in the SmartWaste Cloud architecture, and several layers of protection have been implemented. User authentication is secured using JSON Web Tokens (JWT). Upon successful login, the server issues a signed JWT to the client, which must include this token in the Authorization header of every subsequent API request. The server validates the token's signature and expiry on each request, ensuring that only authenticated and authorized users can access protected endpoints. Role claims embedded within the JWT also enforce role-based access control without requiring additional database lookups.</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Sensitive configuration parameters, such as database credentials, JWT secret keys, and AWS configuration values, are managed through environment variables stored in a .env file, which is never committed to source control. This practice ensures that secrets are decoupled from the application codebase. At the infrastructure level, Docker's internal bridge network ensures that the PostgreSQL database and backend microservices are not exposed to the public internet; only the Nginx container is accessible externally. Nginx acts as the sole public-facing gateway, handling HTTPS termination and providing an additional layer of protection against direct exposure of application services.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9. Scalability and Reliability</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SmartWaste Cloud is designed with two complementary scaling strategies to accommodate growth in users, city coverage, and data volume. Vertical Scaling involves upgrading the underlying AWS EC2 instance to a more powerful tier, such as upgrading from the t2.micro to a t3.medium or t3.large instance. This approach increases the CPU and RAM available to the Docker containers without requiring any changes to the application architecture, and is suitable for moderate growth scenarios where the bottleneck is raw compute capacity.</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For larger-scale deployments, Horizontal Scaling provides a more resilient and cost-effective solution. Multiple instances of the Node.js backend container can be spun up simultaneously, with an AWS Elastic Load Balancer (ELB) distributing incoming API traffic evenly across all running instances. This approach not only increases throughput but also improves fault tolerance: if one container instance fails, the load balancer automatically redirects traffic to the remaining healthy instances, ensuring uninterrupted service. For the database layer, AWS RDS (Relational Database Service) with read replicas can be introduced to offload read-heavy queries, further improving overall system performance as the number of bins and monitored zones grows.</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10. Advantages of Cloud and Container-Based Deployment</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Deploying SmartWaste Cloud on a cloud and container-based architecture provides a compelling set of advantages over traditional on-premises municipal server deployments. The AWS pay-as-you-go pricing model eliminates the need for large upfront capital expenditure on physical server hardware, software licenses, and data center infrastructure. Municipal governments can start with a minimal AWS Free Tier deployment and incrementally scale resources as the system is rolled out to more districts, paying only for what they use.</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The microservices architecture, enabled by Docker containerization, provides functional isolation: the frontend, backend API, route optimization engine, and database each operate as independent units. This means that a failure or performance degradation in one service does not cascade to others, and individual services can be updated, patched, or scaled independently without taking down the entire system. Rapid provisioning is another key advantage: the entire SmartWaste Cloud stack can be deployed to a new city or region in minutes using Docker Compose and a cloud provider's API, compared to the weeks or months required to procure, configure, and commission physical servers in a traditional municipal IT deployment.</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11. Technology Stack Summary</w:t>
      </w:r>
    </w:p>
    <w:p>
      <w:pPr>
        <w:spacing w:line="360" w:lineRule="auto"/>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999999" w:sz="1"/>
              <w:left w:val="single" w:color="999999" w:sz="1"/>
              <w:bottom w:val="single" w:color="999999" w:sz="1"/>
              <w:right w:val="single" w:color="999999" w:sz="1"/>
            </w:tcBorders>
            <w:shd w:fill="D9E1F2" w:val="clear"/>
            <w:tcMar>
              <w:top w:type="dxa" w:w="100"/>
              <w:left w:type="dxa" w:w="120"/>
              <w:bottom w:type="dxa" w:w="100"/>
              <w:right w:type="dxa" w:w="120"/>
            </w:tcMar>
          </w:tcPr>
          <w:p>
            <w:r>
              <w:rPr>
                <w:rFonts w:ascii="Times New Roman" w:cs="Times New Roman" w:eastAsia="Times New Roman" w:hAnsi="Times New Roman"/>
                <w:b/>
                <w:bCs/>
                <w:color w:val="000000"/>
                <w:sz w:val="22"/>
                <w:szCs w:val="22"/>
              </w:rPr>
              <w:t xml:space="preserve">Component</w:t>
            </w:r>
          </w:p>
        </w:tc>
        <w:tc>
          <w:tcPr>
            <w:tcW w:type="dxa" w:w="2800"/>
            <w:tcBorders>
              <w:top w:val="single" w:color="999999" w:sz="1"/>
              <w:left w:val="single" w:color="999999" w:sz="1"/>
              <w:bottom w:val="single" w:color="999999" w:sz="1"/>
              <w:right w:val="single" w:color="999999" w:sz="1"/>
            </w:tcBorders>
            <w:shd w:fill="D9E1F2" w:val="clear"/>
            <w:tcMar>
              <w:top w:type="dxa" w:w="100"/>
              <w:left w:type="dxa" w:w="120"/>
              <w:bottom w:type="dxa" w:w="100"/>
              <w:right w:type="dxa" w:w="120"/>
            </w:tcMar>
          </w:tcPr>
          <w:p>
            <w:r>
              <w:rPr>
                <w:rFonts w:ascii="Times New Roman" w:cs="Times New Roman" w:eastAsia="Times New Roman" w:hAnsi="Times New Roman"/>
                <w:b/>
                <w:bCs/>
                <w:color w:val="000000"/>
                <w:sz w:val="22"/>
                <w:szCs w:val="22"/>
              </w:rPr>
              <w:t xml:space="preserve">Technology / Service</w:t>
            </w:r>
          </w:p>
        </w:tc>
        <w:tc>
          <w:tcPr>
            <w:tcW w:type="dxa" w:w="3760"/>
            <w:tcBorders>
              <w:top w:val="single" w:color="999999" w:sz="1"/>
              <w:left w:val="single" w:color="999999" w:sz="1"/>
              <w:bottom w:val="single" w:color="999999" w:sz="1"/>
              <w:right w:val="single" w:color="999999" w:sz="1"/>
            </w:tcBorders>
            <w:shd w:fill="D9E1F2" w:val="clear"/>
            <w:tcMar>
              <w:top w:type="dxa" w:w="100"/>
              <w:left w:type="dxa" w:w="120"/>
              <w:bottom w:type="dxa" w:w="100"/>
              <w:right w:type="dxa" w:w="120"/>
            </w:tcMar>
          </w:tcPr>
          <w:p>
            <w:r>
              <w:rPr>
                <w:rFonts w:ascii="Times New Roman" w:cs="Times New Roman" w:eastAsia="Times New Roman" w:hAnsi="Times New Roman"/>
                <w:b/>
                <w:bCs/>
                <w:color w:val="000000"/>
                <w:sz w:val="22"/>
                <w:szCs w:val="22"/>
              </w:rPr>
              <w:t xml:space="preserve">Purpose</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Frontend</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HTML5 / CSS3 / JavaScript / Nginx</w:t>
            </w:r>
          </w:p>
        </w:tc>
        <w:tc>
          <w:tcPr>
            <w:tcW w:type="dxa" w:w="3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User Interface and Reverse Proxy</w:t>
            </w:r>
          </w:p>
        </w:tc>
      </w:tr>
      <w:tr>
        <w:tc>
          <w:tcPr>
            <w:tcW w:type="dxa" w:w="28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Backend</w:t>
            </w:r>
          </w:p>
        </w:tc>
        <w:tc>
          <w:tcPr>
            <w:tcW w:type="dxa" w:w="28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Node.js (Express.js)</w:t>
            </w:r>
          </w:p>
        </w:tc>
        <w:tc>
          <w:tcPr>
            <w:tcW w:type="dxa" w:w="376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REST API, Business Logic, DB Communication</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ML Service</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(Flask)</w:t>
            </w:r>
          </w:p>
        </w:tc>
        <w:tc>
          <w:tcPr>
            <w:tcW w:type="dxa" w:w="3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Route Optimization Algorithms</w:t>
            </w:r>
          </w:p>
        </w:tc>
      </w:tr>
      <w:tr>
        <w:tc>
          <w:tcPr>
            <w:tcW w:type="dxa" w:w="28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Database</w:t>
            </w:r>
          </w:p>
        </w:tc>
        <w:tc>
          <w:tcPr>
            <w:tcW w:type="dxa" w:w="28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PostgreSQL</w:t>
            </w:r>
          </w:p>
        </w:tc>
        <w:tc>
          <w:tcPr>
            <w:tcW w:type="dxa" w:w="376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Relational Data Storage (ACID Compliant)</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Compute</w:t>
            </w:r>
          </w:p>
        </w:tc>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AWS EC2 (t2.micro)</w:t>
            </w:r>
          </w:p>
        </w:tc>
        <w:tc>
          <w:tcPr>
            <w:tcW w:type="dxa" w:w="3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Cloud Hosting Infrastructure</w:t>
            </w:r>
          </w:p>
        </w:tc>
      </w:tr>
      <w:tr>
        <w:tc>
          <w:tcPr>
            <w:tcW w:type="dxa" w:w="28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Containerization</w:t>
            </w:r>
          </w:p>
        </w:tc>
        <w:tc>
          <w:tcPr>
            <w:tcW w:type="dxa" w:w="28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Docker / Docker Compose</w:t>
            </w:r>
          </w:p>
        </w:tc>
        <w:tc>
          <w:tcPr>
            <w:tcW w:type="dxa" w:w="376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Image Packaging and Service Orchestration</w:t>
            </w:r>
          </w:p>
        </w:tc>
      </w:tr>
    </w:tbl>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12. Screenshots of the Completed Work</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[Insert Application Screenshots Here]</w:t>
      </w:r>
    </w:p>
    <w:p>
      <w:pPr>
        <w:spacing w:line="360" w:lineRule="auto"/>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Please insert the following screenshots in this section:</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  (a)  Frontend Dashboard - showing the live map and bin fill-level charts.</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  (b)  Login / Signup Page - demonstrating the authentication interface.</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  (c)  AWS EC2 Console - showing the running instance and security group configuration.</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  (d)  Docker Terminal Output - showing the result of 'docker-compose up' with all containers running.</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  (e)  Any additional screenshots of the route optimization output or sanitation worker view.</w:t>
      </w:r>
    </w:p>
    <w:p>
      <w:pPr>
        <w:spacing w:line="360" w:lineRule="auto"/>
      </w:pPr>
      <w:r>
        <w:rPr>
          <w:rFonts w:ascii="Times New Roman" w:cs="Times New Roman" w:eastAsia="Times New Roman" w:hAnsi="Times New Roman"/>
          <w:sz w:val="24"/>
          <w:szCs w:val="24"/>
        </w:rPr>
        <w:t xml:space="preserve"/>
      </w:r>
    </w:p>
    <w:p>
      <w:pPr>
        <w:spacing w:after="100" w:before="200" w:line="360" w:lineRule="auto"/>
      </w:pPr>
      <w:r>
        <w:rPr>
          <w:rFonts w:ascii="Times New Roman" w:cs="Times New Roman" w:eastAsia="Times New Roman" w:hAnsi="Times New Roman"/>
          <w:b/>
          <w:bCs/>
          <w:color w:val="000000"/>
          <w:sz w:val="28"/>
          <w:szCs w:val="28"/>
        </w:rPr>
        <w:t xml:space="preserve">13. Individual Contribution</w:t>
      </w:r>
    </w:p>
    <w:p>
      <w:pPr>
        <w:spacing w:after="80" w:before="80" w:line="360" w:lineRule="auto"/>
        <w:jc w:val="both"/>
      </w:pPr>
      <w:r>
        <w:rPr>
          <w:rFonts w:ascii="Times New Roman" w:cs="Times New Roman" w:eastAsia="Times New Roman" w:hAnsi="Times New Roman"/>
          <w:b w:val="false"/>
          <w:bCs w:val="false"/>
          <w:color w:val="000000"/>
          <w:sz w:val="24"/>
          <w:szCs w:val="24"/>
        </w:rPr>
        <w:t xml:space="preserve">The following table outlines the specific responsibilities undertaken by each team member in the development and deployment of SmartWaste Cloud:</w:t>
      </w:r>
    </w:p>
    <w:p>
      <w:pPr>
        <w:spacing w:line="360" w:lineRule="auto"/>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999999" w:sz="1"/>
              <w:left w:val="single" w:color="999999" w:sz="1"/>
              <w:bottom w:val="single" w:color="999999" w:sz="1"/>
              <w:right w:val="single" w:color="999999" w:sz="1"/>
            </w:tcBorders>
            <w:shd w:fill="D9E1F2" w:val="clear"/>
            <w:tcMar>
              <w:top w:type="dxa" w:w="100"/>
              <w:left w:type="dxa" w:w="120"/>
              <w:bottom w:type="dxa" w:w="100"/>
              <w:right w:type="dxa" w:w="120"/>
            </w:tcMar>
          </w:tcPr>
          <w:p>
            <w:r>
              <w:rPr>
                <w:rFonts w:ascii="Times New Roman" w:cs="Times New Roman" w:eastAsia="Times New Roman" w:hAnsi="Times New Roman"/>
                <w:b/>
                <w:bCs/>
                <w:color w:val="000000"/>
                <w:sz w:val="22"/>
                <w:szCs w:val="22"/>
              </w:rPr>
              <w:t xml:space="preserve">Enrollment No.</w:t>
            </w:r>
          </w:p>
        </w:tc>
        <w:tc>
          <w:tcPr>
            <w:tcW w:type="dxa" w:w="2200"/>
            <w:tcBorders>
              <w:top w:val="single" w:color="999999" w:sz="1"/>
              <w:left w:val="single" w:color="999999" w:sz="1"/>
              <w:bottom w:val="single" w:color="999999" w:sz="1"/>
              <w:right w:val="single" w:color="999999" w:sz="1"/>
            </w:tcBorders>
            <w:shd w:fill="D9E1F2" w:val="clear"/>
            <w:tcMar>
              <w:top w:type="dxa" w:w="100"/>
              <w:left w:type="dxa" w:w="120"/>
              <w:bottom w:type="dxa" w:w="100"/>
              <w:right w:type="dxa" w:w="120"/>
            </w:tcMar>
          </w:tcPr>
          <w:p>
            <w:r>
              <w:rPr>
                <w:rFonts w:ascii="Times New Roman" w:cs="Times New Roman" w:eastAsia="Times New Roman" w:hAnsi="Times New Roman"/>
                <w:b/>
                <w:bCs/>
                <w:color w:val="000000"/>
                <w:sz w:val="22"/>
                <w:szCs w:val="22"/>
              </w:rPr>
              <w:t xml:space="preserve">Member Name</w:t>
            </w:r>
          </w:p>
        </w:tc>
        <w:tc>
          <w:tcPr>
            <w:tcW w:type="dxa" w:w="2400"/>
            <w:tcBorders>
              <w:top w:val="single" w:color="999999" w:sz="1"/>
              <w:left w:val="single" w:color="999999" w:sz="1"/>
              <w:bottom w:val="single" w:color="999999" w:sz="1"/>
              <w:right w:val="single" w:color="999999" w:sz="1"/>
            </w:tcBorders>
            <w:shd w:fill="D9E1F2" w:val="clear"/>
            <w:tcMar>
              <w:top w:type="dxa" w:w="100"/>
              <w:left w:type="dxa" w:w="120"/>
              <w:bottom w:type="dxa" w:w="100"/>
              <w:right w:type="dxa" w:w="120"/>
            </w:tcMar>
          </w:tcPr>
          <w:p>
            <w:r>
              <w:rPr>
                <w:rFonts w:ascii="Times New Roman" w:cs="Times New Roman" w:eastAsia="Times New Roman" w:hAnsi="Times New Roman"/>
                <w:b/>
                <w:bCs/>
                <w:color w:val="000000"/>
                <w:sz w:val="22"/>
                <w:szCs w:val="22"/>
              </w:rPr>
              <w:t xml:space="preserve">Role</w:t>
            </w:r>
          </w:p>
        </w:tc>
        <w:tc>
          <w:tcPr>
            <w:tcW w:type="dxa" w:w="2960"/>
            <w:tcBorders>
              <w:top w:val="single" w:color="999999" w:sz="1"/>
              <w:left w:val="single" w:color="999999" w:sz="1"/>
              <w:bottom w:val="single" w:color="999999" w:sz="1"/>
              <w:right w:val="single" w:color="999999" w:sz="1"/>
            </w:tcBorders>
            <w:shd w:fill="D9E1F2" w:val="clear"/>
            <w:tcMar>
              <w:top w:type="dxa" w:w="100"/>
              <w:left w:type="dxa" w:w="120"/>
              <w:bottom w:type="dxa" w:w="100"/>
              <w:right w:type="dxa" w:w="120"/>
            </w:tcMar>
          </w:tcPr>
          <w:p>
            <w:r>
              <w:rPr>
                <w:rFonts w:ascii="Times New Roman" w:cs="Times New Roman" w:eastAsia="Times New Roman" w:hAnsi="Times New Roman"/>
                <w:b/>
                <w:bCs/>
                <w:color w:val="000000"/>
                <w:sz w:val="22"/>
                <w:szCs w:val="22"/>
              </w:rPr>
              <w:t xml:space="preserve">Contribution Details</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23BIT140</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Hemang Shreemali</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Frontend Developer</w:t>
            </w:r>
          </w:p>
        </w:tc>
        <w:tc>
          <w:tcPr>
            <w:tcW w:type="dxa" w:w="2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Designed and developed the responsive web interface using HTML5, CSS3, and Vanilla JavaScript. Configured Nginx as a static file server and reverse proxy.</w:t>
            </w:r>
          </w:p>
        </w:tc>
      </w:tr>
      <w:tr>
        <w:tc>
          <w:tcPr>
            <w:tcW w:type="dxa" w:w="18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23BIT164</w:t>
            </w:r>
          </w:p>
        </w:tc>
        <w:tc>
          <w:tcPr>
            <w:tcW w:type="dxa" w:w="22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Soham Gor</w:t>
            </w:r>
          </w:p>
        </w:tc>
        <w:tc>
          <w:tcPr>
            <w:tcW w:type="dxa" w:w="24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Backend Developer</w:t>
            </w:r>
          </w:p>
        </w:tc>
        <w:tc>
          <w:tcPr>
            <w:tcW w:type="dxa" w:w="296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Built the Node.js (Express.js) REST API, defined the PostgreSQL database schema, and implemented all data access and business logic layers.</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23BIT142</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Sachi Shah</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ML / Backend Developer</w:t>
            </w:r>
          </w:p>
        </w:tc>
        <w:tc>
          <w:tcPr>
            <w:tcW w:type="dxa" w:w="29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Developed the Python (Flask) microservice responsible for route optimization algorithms, integrating bin fill-level data to compute efficient sanitation routes.</w:t>
            </w:r>
          </w:p>
        </w:tc>
      </w:tr>
      <w:tr>
        <w:tc>
          <w:tcPr>
            <w:tcW w:type="dxa" w:w="18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23BIT153</w:t>
            </w:r>
          </w:p>
        </w:tc>
        <w:tc>
          <w:tcPr>
            <w:tcW w:type="dxa" w:w="22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Pushkar Kanjani</w:t>
            </w:r>
          </w:p>
        </w:tc>
        <w:tc>
          <w:tcPr>
            <w:tcW w:type="dxa" w:w="240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DevOps &amp; Documentation</w:t>
            </w:r>
          </w:p>
        </w:tc>
        <w:tc>
          <w:tcPr>
            <w:tcW w:type="dxa" w:w="2960"/>
            <w:tcBorders>
              <w:top w:val="single" w:color="999999" w:sz="1"/>
              <w:left w:val="single" w:color="999999" w:sz="1"/>
              <w:bottom w:val="single" w:color="999999" w:sz="1"/>
              <w:right w:val="single" w:color="999999" w:sz="1"/>
            </w:tcBorders>
            <w:shd w:fill="EEF2F9"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Managed Dockerization of all services, authored Docker Compose configuration, deployed the full stack to AWS EC2, and prepared all project documentation.</w:t>
            </w:r>
          </w:p>
        </w:tc>
      </w:tr>
    </w:tbl>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2026-04-13T11:30:47.258Z</dcterms:created>
  <dcterms:modified xsi:type="dcterms:W3CDTF">2026-04-13T11:30:47.259Z</dcterms:modified>
</cp:coreProperties>
</file>

<file path=docProps/custom.xml><?xml version="1.0" encoding="utf-8"?>
<Properties xmlns="http://schemas.openxmlformats.org/officeDocument/2006/custom-properties" xmlns:vt="http://schemas.openxmlformats.org/officeDocument/2006/docPropsVTypes"/>
</file>