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16FC4" w14:textId="77777777" w:rsidR="00D3485C" w:rsidRPr="00D3485C" w:rsidRDefault="00D3485C" w:rsidP="00D3485C">
      <w:pPr>
        <w:jc w:val="center"/>
        <w:rPr>
          <w:b/>
          <w:bCs/>
          <w:u w:val="single"/>
        </w:rPr>
      </w:pPr>
      <w:r w:rsidRPr="00D3485C">
        <w:rPr>
          <w:b/>
          <w:bCs/>
          <w:u w:val="single"/>
        </w:rPr>
        <w:t>STATISTICAL ARBITRAGE: A QUANTITATIVE PAIRS TRADING STRATEGY ON S&amp;P 500 EQUITIES</w:t>
      </w:r>
    </w:p>
    <w:p w14:paraId="76996A19" w14:textId="77777777" w:rsidR="00D3485C" w:rsidRDefault="00D3485C" w:rsidP="00D3485C"/>
    <w:p w14:paraId="76882E40" w14:textId="77777777" w:rsidR="00D3485C" w:rsidRPr="00D3485C" w:rsidRDefault="00D3485C" w:rsidP="00D3485C">
      <w:pPr>
        <w:rPr>
          <w:b/>
          <w:bCs/>
          <w:u w:val="single"/>
        </w:rPr>
      </w:pPr>
      <w:r w:rsidRPr="00D3485C">
        <w:rPr>
          <w:b/>
          <w:bCs/>
          <w:u w:val="single"/>
        </w:rPr>
        <w:t>ABSTRACT</w:t>
      </w:r>
    </w:p>
    <w:p w14:paraId="379F83E9" w14:textId="77777777" w:rsidR="00D3485C" w:rsidRDefault="00D3485C" w:rsidP="00D3485C">
      <w:r>
        <w:t>This project implements a systematic statistical arbitrage strategy using cointegration-based pairs trading on S&amp;P 500 constituents. The framework combines distance-based clustering, cointegration testing, Ornstein-</w:t>
      </w:r>
      <w:proofErr w:type="spellStart"/>
      <w:r>
        <w:t>Uhlenbeck</w:t>
      </w:r>
      <w:proofErr w:type="spellEnd"/>
      <w:r>
        <w:t xml:space="preserve"> mean reversion modeling, and portfolio optimization to identify and trade mean-reverting spreads. The final portfolio of 20 pairs achieves a Sharpe ratio of 3.61 with maximum drawdown of 0.98%, demonstrating robust risk-adjusted returns consistent with market-neutral statistical arbitrage.</w:t>
      </w:r>
    </w:p>
    <w:p w14:paraId="7D944048" w14:textId="77777777" w:rsidR="00D3485C" w:rsidRDefault="00D3485C" w:rsidP="00D3485C"/>
    <w:p w14:paraId="3B7304AA" w14:textId="77777777" w:rsidR="00D3485C" w:rsidRPr="00D3485C" w:rsidRDefault="00D3485C" w:rsidP="00D3485C">
      <w:pPr>
        <w:rPr>
          <w:b/>
          <w:bCs/>
          <w:u w:val="single"/>
        </w:rPr>
      </w:pPr>
      <w:r w:rsidRPr="00D3485C">
        <w:rPr>
          <w:b/>
          <w:bCs/>
          <w:u w:val="single"/>
        </w:rPr>
        <w:t>METHODOLOGY</w:t>
      </w:r>
    </w:p>
    <w:p w14:paraId="3B8D0B4A" w14:textId="77777777" w:rsidR="00D3485C" w:rsidRDefault="00D3485C" w:rsidP="00D3485C">
      <w:r>
        <w:t>1. Data and Universe Selection</w:t>
      </w:r>
    </w:p>
    <w:p w14:paraId="177727F8" w14:textId="77777777" w:rsidR="00D3485C" w:rsidRDefault="00D3485C" w:rsidP="00D3485C">
      <w:r>
        <w:t>The strategy universe comprises 503 S&amp;P 500 constituents with daily price data from October 2023 to September 2025 (480 trading days). We impose a minimum data requirement of 400 trading days to ensure statistical reliability. After data quality filtering, 500 tickers with complete price histories form the tradeable universe, yielding 124,750 potential pairs.</w:t>
      </w:r>
    </w:p>
    <w:p w14:paraId="514516A8" w14:textId="77777777" w:rsidR="00D3485C" w:rsidRDefault="00D3485C" w:rsidP="00D3485C"/>
    <w:p w14:paraId="62830265" w14:textId="77777777" w:rsidR="00D3485C" w:rsidRDefault="00D3485C" w:rsidP="00D3485C">
      <w:r>
        <w:t>2. Distance-Based Pre-Filtering</w:t>
      </w:r>
    </w:p>
    <w:p w14:paraId="2F995C93" w14:textId="77777777" w:rsidR="00D3485C" w:rsidRDefault="00D3485C" w:rsidP="00D3485C">
      <w:r>
        <w:t>Traditional pairs trading begins with the assumption that securities exhibiting similar price movements may be cointegrated. We employ normalized Euclidean distance as a pre-filter:</w:t>
      </w:r>
    </w:p>
    <w:p w14:paraId="5CE53E94" w14:textId="77777777" w:rsidR="00D3485C" w:rsidRDefault="00D3485C" w:rsidP="00D3485C">
      <w:r>
        <w:t>a) Cumulative returns are computed for each ticker relative to the initial price</w:t>
      </w:r>
    </w:p>
    <w:p w14:paraId="619E9B8A" w14:textId="77777777" w:rsidR="00D3485C" w:rsidRDefault="00D3485C" w:rsidP="00D3485C">
      <w:r>
        <w:t>b) Min-max normalization scales each time series to [0,1], removing magnitude bias</w:t>
      </w:r>
    </w:p>
    <w:p w14:paraId="1CC1ECEE" w14:textId="77777777" w:rsidR="00D3485C" w:rsidRDefault="00D3485C" w:rsidP="00D3485C">
      <w:r>
        <w:t>c) Sum of squared Euclidean distances (SSD) quantifies dissimilarity between normalized price paths</w:t>
      </w:r>
    </w:p>
    <w:p w14:paraId="56AB1A3C" w14:textId="77777777" w:rsidR="00D3485C" w:rsidRDefault="00D3485C" w:rsidP="00D3485C">
      <w:r>
        <w:t>d) Pairs with SSD &lt; 35 are retained (55,952 pairs), representing the 45th percentile</w:t>
      </w:r>
    </w:p>
    <w:p w14:paraId="7D1A5D57" w14:textId="77777777" w:rsidR="00D3485C" w:rsidRDefault="00D3485C" w:rsidP="00D3485C"/>
    <w:p w14:paraId="777BC1DF" w14:textId="77777777" w:rsidR="00D3485C" w:rsidRDefault="00D3485C" w:rsidP="00D3485C">
      <w:r>
        <w:t>Rationale: Distance-based filtering reduces computational burden by eliminating pairs with divergent price dynamics that are unlikely to be cointegrated. The threshold balances false negatives (discarding potentially cointegrated pairs) against computational efficiency. This approach is grounded in the observation that cointegrated series must maintain a stable long-run relationship, which manifests as proximity in normalized price space.</w:t>
      </w:r>
    </w:p>
    <w:p w14:paraId="61C97E2C" w14:textId="77777777" w:rsidR="00D3485C" w:rsidRDefault="00D3485C" w:rsidP="00D3485C"/>
    <w:p w14:paraId="09FA490F" w14:textId="77777777" w:rsidR="00D3485C" w:rsidRDefault="00D3485C" w:rsidP="00D3485C">
      <w:r>
        <w:t>3. Cointegration Testing</w:t>
      </w:r>
    </w:p>
    <w:p w14:paraId="3F314B65" w14:textId="77777777" w:rsidR="00D3485C" w:rsidRDefault="00D3485C" w:rsidP="00D3485C">
      <w:r>
        <w:t>For the distance-filtered pairs, we apply the Engle-Granger two-step cointegration test:</w:t>
      </w:r>
    </w:p>
    <w:p w14:paraId="127345D5" w14:textId="77777777" w:rsidR="00D3485C" w:rsidRDefault="00D3485C" w:rsidP="00D3485C">
      <w:r>
        <w:t>a) Linear regression: Y(t) = alpha + beta * X(t) + epsilon(t)</w:t>
      </w:r>
    </w:p>
    <w:p w14:paraId="6B4AB3D3" w14:textId="77777777" w:rsidR="00D3485C" w:rsidRDefault="00D3485C" w:rsidP="00D3485C">
      <w:r>
        <w:t>b) Augmented Dickey-Fuller test on residuals epsilon(t)</w:t>
      </w:r>
    </w:p>
    <w:p w14:paraId="2BE18F61" w14:textId="77777777" w:rsidR="00D3485C" w:rsidRDefault="00D3485C" w:rsidP="00D3485C">
      <w:r>
        <w:t>c) Pairs with p-value &lt; 0.05 are deemed cointegrated (3,051 pairs)</w:t>
      </w:r>
    </w:p>
    <w:p w14:paraId="07463B1B" w14:textId="77777777" w:rsidR="00D3485C" w:rsidRDefault="00D3485C" w:rsidP="00D3485C"/>
    <w:p w14:paraId="2C563D7F" w14:textId="77777777" w:rsidR="00D3485C" w:rsidRDefault="00D3485C" w:rsidP="00D3485C">
      <w:r>
        <w:t xml:space="preserve">Economic Rationale: Cointegration implies a stable long-run equilibrium relationship between two non-stationary price series. While individual stock prices </w:t>
      </w:r>
      <w:proofErr w:type="gramStart"/>
      <w:r>
        <w:t>may be</w:t>
      </w:r>
      <w:proofErr w:type="gramEnd"/>
      <w:r>
        <w:t xml:space="preserve"> </w:t>
      </w:r>
      <w:proofErr w:type="gramStart"/>
      <w:r>
        <w:t>I(</w:t>
      </w:r>
      <w:proofErr w:type="gramEnd"/>
      <w:r>
        <w:t xml:space="preserve">1) processes (containing unit roots), their linear combination (the spread) is </w:t>
      </w:r>
      <w:proofErr w:type="gramStart"/>
      <w:r>
        <w:t>I(</w:t>
      </w:r>
      <w:proofErr w:type="gramEnd"/>
      <w:r>
        <w:t>0) (stationary). This stationarity is the foundation for mean reversion trading: temporary deviations from equilibrium create arbitrage opportunities as economic forces pull the spread back toward its mean.</w:t>
      </w:r>
    </w:p>
    <w:p w14:paraId="0381FDF1" w14:textId="77777777" w:rsidR="00D3485C" w:rsidRDefault="00D3485C" w:rsidP="00D3485C"/>
    <w:p w14:paraId="2CF7C0FF" w14:textId="77777777" w:rsidR="00D3485C" w:rsidRDefault="00D3485C" w:rsidP="00D3485C">
      <w:r>
        <w:lastRenderedPageBreak/>
        <w:t>4. Regression Direction and Spread Construction</w:t>
      </w:r>
    </w:p>
    <w:p w14:paraId="067A3F35" w14:textId="77777777" w:rsidR="00D3485C" w:rsidRDefault="00D3485C" w:rsidP="00D3485C">
      <w:r>
        <w:t>For each cointegrated pair, we test both regression directions (Y on X and X on Y) and select the specification with superior statistical properties:</w:t>
      </w:r>
    </w:p>
    <w:p w14:paraId="573A3CBA" w14:textId="77777777" w:rsidR="00D3485C" w:rsidRDefault="00D3485C" w:rsidP="00D3485C">
      <w:r>
        <w:t>a) Higher R-squared (stronger linear relationship)</w:t>
      </w:r>
    </w:p>
    <w:p w14:paraId="70389FC8" w14:textId="77777777" w:rsidR="00D3485C" w:rsidRDefault="00D3485C" w:rsidP="00D3485C">
      <w:r>
        <w:t>b) Lower ADF p-value on residuals (stronger mean reversion)</w:t>
      </w:r>
    </w:p>
    <w:p w14:paraId="63DC6AFA" w14:textId="77777777" w:rsidR="00D3485C" w:rsidRDefault="00D3485C" w:rsidP="00D3485C">
      <w:r>
        <w:t>We extract hedge ratios (beta) from the optimal regression to construct market-neutral spreads:</w:t>
      </w:r>
    </w:p>
    <w:p w14:paraId="1A00E5C5" w14:textId="77777777" w:rsidR="00D3485C" w:rsidRDefault="00D3485C" w:rsidP="00D3485C">
      <w:r>
        <w:t>Spread(t) = Stock1(t) - beta * Stock2(t)</w:t>
      </w:r>
    </w:p>
    <w:p w14:paraId="2D3B32B0" w14:textId="77777777" w:rsidR="00D3485C" w:rsidRDefault="00D3485C" w:rsidP="00D3485C">
      <w:r>
        <w:t>This beta-weighted construction ensures the spread is theoretically insensitive to broad market movements, isolating the idiosyncratic relationship between the pair.</w:t>
      </w:r>
    </w:p>
    <w:p w14:paraId="3E768FD7" w14:textId="77777777" w:rsidR="00D3485C" w:rsidRDefault="00D3485C" w:rsidP="00D3485C"/>
    <w:p w14:paraId="4B98D0C4" w14:textId="77777777" w:rsidR="00D3485C" w:rsidRDefault="00D3485C" w:rsidP="00D3485C">
      <w:r>
        <w:t>5. Mean Reversion Characterization: Zero Crossings</w:t>
      </w:r>
    </w:p>
    <w:p w14:paraId="18895224" w14:textId="77777777" w:rsidR="00D3485C" w:rsidRDefault="00D3485C" w:rsidP="00D3485C">
      <w:r>
        <w:t>We compute zero crossings for each spread, counting sign changes that indicate mean reversion episodes. Pairs with &gt; 20 zero crossings (2,995 pairs) demonstrate active mean reversion over the sample period.</w:t>
      </w:r>
    </w:p>
    <w:p w14:paraId="7297BF27" w14:textId="77777777" w:rsidR="00D3485C" w:rsidRDefault="00D3485C" w:rsidP="00D3485C">
      <w:r>
        <w:t>Rationale: Frequent zero crossings indicate that the spread oscillates around its mean, a necessary condition for profitable pairs trading. Too few crossings suggest trending behavior or regime shifts, while too many may indicate noise rather than tradeable structure. The threshold of 20 crossings over 480 days corresponds to roughly one reversion cycle every 24 days, aligning with the half-lives we target.</w:t>
      </w:r>
    </w:p>
    <w:p w14:paraId="428D366D" w14:textId="77777777" w:rsidR="00D3485C" w:rsidRDefault="00D3485C" w:rsidP="00D3485C"/>
    <w:p w14:paraId="3E6DC5CB" w14:textId="77777777" w:rsidR="00D3485C" w:rsidRDefault="00D3485C" w:rsidP="00D3485C">
      <w:r>
        <w:t>6. Ornstein-</w:t>
      </w:r>
      <w:proofErr w:type="spellStart"/>
      <w:r>
        <w:t>Uhlenbeck</w:t>
      </w:r>
      <w:proofErr w:type="spellEnd"/>
      <w:r>
        <w:t xml:space="preserve"> Process Fitting</w:t>
      </w:r>
    </w:p>
    <w:p w14:paraId="713858F6" w14:textId="77777777" w:rsidR="00D3485C" w:rsidRDefault="00D3485C" w:rsidP="00D3485C">
      <w:r>
        <w:t>From the mean-reverting pairs, we select the top 30% by low absolute drift and high variance, yielding 50 candidates. We model each spread as an Ornstein-</w:t>
      </w:r>
      <w:proofErr w:type="spellStart"/>
      <w:r>
        <w:t>Uhlenbeck</w:t>
      </w:r>
      <w:proofErr w:type="spellEnd"/>
      <w:r>
        <w:t xml:space="preserve"> process via </w:t>
      </w:r>
      <w:proofErr w:type="gramStart"/>
      <w:r>
        <w:t>AR(</w:t>
      </w:r>
      <w:proofErr w:type="gramEnd"/>
      <w:r>
        <w:t>1) regression:</w:t>
      </w:r>
    </w:p>
    <w:p w14:paraId="078B47A7" w14:textId="77777777" w:rsidR="00D3485C" w:rsidRDefault="00D3485C" w:rsidP="00D3485C">
      <w:r>
        <w:t>Spread(t) = alpha + phi * Spread(t-1) + epsilon(t)</w:t>
      </w:r>
    </w:p>
    <w:p w14:paraId="48EF5C36" w14:textId="77777777" w:rsidR="00D3485C" w:rsidRDefault="00D3485C" w:rsidP="00D3485C">
      <w:r>
        <w:t>Key parameters:</w:t>
      </w:r>
    </w:p>
    <w:p w14:paraId="21B151D8" w14:textId="77777777" w:rsidR="00D3485C" w:rsidRDefault="00D3485C" w:rsidP="00D3485C">
      <w:r>
        <w:t>- Mean reversion speed: k = -ln(phi) / dt</w:t>
      </w:r>
    </w:p>
    <w:p w14:paraId="2A9D9739" w14:textId="77777777" w:rsidR="00D3485C" w:rsidRDefault="00D3485C" w:rsidP="00D3485C">
      <w:r>
        <w:t>- Long-run mean: mu = alpha / (1 - phi)</w:t>
      </w:r>
    </w:p>
    <w:p w14:paraId="7ABF31AE" w14:textId="77777777" w:rsidR="00D3485C" w:rsidRDefault="00D3485C" w:rsidP="00D3485C">
      <w:r>
        <w:t xml:space="preserve">- Half-life: </w:t>
      </w:r>
      <w:proofErr w:type="gramStart"/>
      <w:r>
        <w:t>ln(</w:t>
      </w:r>
      <w:proofErr w:type="gramEnd"/>
      <w:r>
        <w:t>2) / k</w:t>
      </w:r>
    </w:p>
    <w:p w14:paraId="13E1E776" w14:textId="77777777" w:rsidR="00D3485C" w:rsidRDefault="00D3485C" w:rsidP="00D3485C"/>
    <w:p w14:paraId="5C794819" w14:textId="77777777" w:rsidR="00D3485C" w:rsidRDefault="00D3485C" w:rsidP="00D3485C">
      <w:r>
        <w:t>Filtering criteria:</w:t>
      </w:r>
    </w:p>
    <w:p w14:paraId="33CFC3B2" w14:textId="77777777" w:rsidR="00D3485C" w:rsidRDefault="00D3485C" w:rsidP="00D3485C">
      <w:r>
        <w:t>a) 0.5 &lt; phi &lt; 0.995 (moderate to strong mean reversion without near-unit-root behavior)</w:t>
      </w:r>
    </w:p>
    <w:p w14:paraId="44934A9F" w14:textId="77777777" w:rsidR="00D3485C" w:rsidRDefault="00D3485C" w:rsidP="00D3485C">
      <w:r>
        <w:t>b) Half-life between 10-30 days (49 pairs)</w:t>
      </w:r>
    </w:p>
    <w:p w14:paraId="61A29020" w14:textId="77777777" w:rsidR="00D3485C" w:rsidRDefault="00D3485C" w:rsidP="00D3485C">
      <w:r>
        <w:t>c) R-squared &gt; 0.70 (strong explanatory power, 46 pairs retained)</w:t>
      </w:r>
    </w:p>
    <w:p w14:paraId="347FF7B7" w14:textId="77777777" w:rsidR="00D3485C" w:rsidRDefault="00D3485C" w:rsidP="00D3485C"/>
    <w:p w14:paraId="2C4EE406" w14:textId="77777777" w:rsidR="00D3485C" w:rsidRDefault="00D3485C" w:rsidP="00D3485C">
      <w:r>
        <w:t xml:space="preserve">Economic Rationale: The OU process is the continuous-time analog of </w:t>
      </w:r>
      <w:proofErr w:type="gramStart"/>
      <w:r>
        <w:t>AR(</w:t>
      </w:r>
      <w:proofErr w:type="gramEnd"/>
      <w:r>
        <w:t>1) and provides a rigorous framework for mean-reverting spreads. The mean reversion speed k quantifies how quickly deviations decay, directly informing position sizing and trade timing. By targeting half-lives of 10-30 days, we avoid pairs that revert too slowly (tying up capital) or too quickly (transaction costs dominate). The R-squared threshold ensures the linear model adequately captures spread dynamics, reducing model risk.</w:t>
      </w:r>
    </w:p>
    <w:p w14:paraId="698E8B06" w14:textId="77777777" w:rsidR="00D3485C" w:rsidRDefault="00D3485C" w:rsidP="00D3485C"/>
    <w:p w14:paraId="2D65ABA1" w14:textId="77777777" w:rsidR="00D3485C" w:rsidRDefault="00D3485C" w:rsidP="00D3485C"/>
    <w:p w14:paraId="1C786503" w14:textId="77777777" w:rsidR="00D3485C" w:rsidRDefault="00D3485C" w:rsidP="00D3485C">
      <w:r>
        <w:lastRenderedPageBreak/>
        <w:t xml:space="preserve">7. </w:t>
      </w:r>
      <w:proofErr w:type="spellStart"/>
      <w:r>
        <w:t>Backtesting</w:t>
      </w:r>
      <w:proofErr w:type="spellEnd"/>
      <w:r>
        <w:t xml:space="preserve"> and Performance Filtering</w:t>
      </w:r>
    </w:p>
    <w:p w14:paraId="79F36F5D" w14:textId="77777777" w:rsidR="00D3485C" w:rsidRDefault="00D3485C" w:rsidP="00D3485C">
      <w:r>
        <w:t>We implement a z-score trading rule for each filtered pair:</w:t>
      </w:r>
    </w:p>
    <w:p w14:paraId="0B043581" w14:textId="77777777" w:rsidR="00D3485C" w:rsidRDefault="00D3485C" w:rsidP="00D3485C">
      <w:r>
        <w:t>- Long spread when z-score &lt; -2 (spread is cheap)</w:t>
      </w:r>
    </w:p>
    <w:p w14:paraId="3B854CF0" w14:textId="77777777" w:rsidR="00D3485C" w:rsidRDefault="00D3485C" w:rsidP="00D3485C">
      <w:r>
        <w:t>- Short spread when z-score &gt; 2 (spread is expensive)</w:t>
      </w:r>
    </w:p>
    <w:p w14:paraId="03E55A13" w14:textId="77777777" w:rsidR="00D3485C" w:rsidRDefault="00D3485C" w:rsidP="00D3485C">
      <w:r>
        <w:t>- Exit when |z-score| &lt; 1 (convergence to mean)</w:t>
      </w:r>
    </w:p>
    <w:p w14:paraId="4617AC08" w14:textId="77777777" w:rsidR="00D3485C" w:rsidRDefault="00D3485C" w:rsidP="00D3485C">
      <w:r>
        <w:t>The spread position is implemented as:</w:t>
      </w:r>
    </w:p>
    <w:p w14:paraId="152F9171" w14:textId="77777777" w:rsidR="00D3485C" w:rsidRDefault="00D3485C" w:rsidP="00D3485C">
      <w:r>
        <w:t>Position Return = Position * (Stock1 return - beta * Stock2 return)</w:t>
      </w:r>
    </w:p>
    <w:p w14:paraId="4984E928" w14:textId="77777777" w:rsidR="00D3485C" w:rsidRDefault="00D3485C" w:rsidP="00D3485C">
      <w:r>
        <w:t>Final performance filters:</w:t>
      </w:r>
    </w:p>
    <w:p w14:paraId="0AF176DB" w14:textId="77777777" w:rsidR="00D3485C" w:rsidRDefault="00D3485C" w:rsidP="00D3485C">
      <w:r>
        <w:t>- Sharpe ratio &gt; 0.5</w:t>
      </w:r>
    </w:p>
    <w:p w14:paraId="6C69626F" w14:textId="77777777" w:rsidR="00D3485C" w:rsidRDefault="00D3485C" w:rsidP="00D3485C">
      <w:r>
        <w:t>- Maximum drawdown &lt; 10%</w:t>
      </w:r>
    </w:p>
    <w:p w14:paraId="21F222FA" w14:textId="77777777" w:rsidR="00D3485C" w:rsidRDefault="00D3485C" w:rsidP="00D3485C">
      <w:r>
        <w:t>- Total return &gt; 10%</w:t>
      </w:r>
    </w:p>
    <w:p w14:paraId="6134A4F7" w14:textId="77777777" w:rsidR="00D3485C" w:rsidRDefault="00D3485C" w:rsidP="00D3485C"/>
    <w:p w14:paraId="3BA970E5" w14:textId="77777777" w:rsidR="00D3485C" w:rsidRPr="00D3485C" w:rsidRDefault="00D3485C" w:rsidP="00D3485C">
      <w:pPr>
        <w:rPr>
          <w:b/>
          <w:bCs/>
          <w:u w:val="single"/>
        </w:rPr>
      </w:pPr>
      <w:r w:rsidRPr="00D3485C">
        <w:rPr>
          <w:b/>
          <w:bCs/>
          <w:u w:val="single"/>
        </w:rPr>
        <w:t>Result: 20 pairs pass all criteria, forming the final portfolio.</w:t>
      </w:r>
    </w:p>
    <w:p w14:paraId="7C2BC97D" w14:textId="77777777" w:rsidR="00D3485C" w:rsidRDefault="00D3485C" w:rsidP="00D3485C">
      <w:r>
        <w:t>Rationale: The z-score thresholds (2 standard deviations) balance trade frequency against signal quality. Wider bands reduce false signals but may miss profitable opportunities. The performance filters ensure we only trade pairs with demonstrated alpha, positive risk-adjusted returns, and acceptable drawdown profiles. These thresholds are consistent with institutional risk management standards for statistical arbitrage.</w:t>
      </w:r>
    </w:p>
    <w:p w14:paraId="36DDB1A1" w14:textId="77777777" w:rsidR="00D3485C" w:rsidRDefault="00D3485C" w:rsidP="00D3485C"/>
    <w:p w14:paraId="71F432A5" w14:textId="77777777" w:rsidR="00D3485C" w:rsidRPr="00D3485C" w:rsidRDefault="00D3485C" w:rsidP="00D3485C">
      <w:pPr>
        <w:rPr>
          <w:b/>
          <w:bCs/>
        </w:rPr>
      </w:pPr>
      <w:r w:rsidRPr="00D3485C">
        <w:rPr>
          <w:b/>
          <w:bCs/>
        </w:rPr>
        <w:t>PORTFOLIO CONSTRUCTION AND RISK MANAGEMENT</w:t>
      </w:r>
    </w:p>
    <w:p w14:paraId="4047D6E2" w14:textId="77777777" w:rsidR="00D3485C" w:rsidRDefault="00D3485C" w:rsidP="00D3485C"/>
    <w:p w14:paraId="1F0B6828" w14:textId="77777777" w:rsidR="00D3485C" w:rsidRDefault="00D3485C" w:rsidP="00D3485C">
      <w:r>
        <w:t>1. Weighting Schemes</w:t>
      </w:r>
    </w:p>
    <w:p w14:paraId="1D19F838" w14:textId="77777777" w:rsidR="00D3485C" w:rsidRDefault="00D3485C" w:rsidP="00D3485C">
      <w:r>
        <w:t>We evaluate four portfolio weighting methods:</w:t>
      </w:r>
    </w:p>
    <w:p w14:paraId="2028C38F" w14:textId="77777777" w:rsidR="00D3485C" w:rsidRDefault="00D3485C" w:rsidP="00D3485C">
      <w:r>
        <w:t>a) Equal Weight: 1/N allocation, provides benchmark and diversification</w:t>
      </w:r>
    </w:p>
    <w:p w14:paraId="56E30A55" w14:textId="77777777" w:rsidR="00D3485C" w:rsidRDefault="00D3485C" w:rsidP="00D3485C">
      <w:r>
        <w:t>b) Sharpe-Weighted: Allocates proportionally to individual Sharpe ratios, overweighting strong performers</w:t>
      </w:r>
    </w:p>
    <w:p w14:paraId="5F10405C" w14:textId="77777777" w:rsidR="00D3485C" w:rsidRDefault="00D3485C" w:rsidP="00D3485C">
      <w:r>
        <w:t>c) Inverse Volatility: Allocates inversely to volatility, targeting equal risk contribution</w:t>
      </w:r>
    </w:p>
    <w:p w14:paraId="0D81EF54" w14:textId="77777777" w:rsidR="00D3485C" w:rsidRDefault="00D3485C" w:rsidP="00D3485C">
      <w:r>
        <w:t>d) Risk Parity: Optimizes for equal marginal risk contribution across pairs</w:t>
      </w:r>
    </w:p>
    <w:p w14:paraId="4CC71E31" w14:textId="77777777" w:rsidR="00D3485C" w:rsidRDefault="00D3485C" w:rsidP="00D3485C"/>
    <w:p w14:paraId="0DDE0BE1" w14:textId="77777777" w:rsidR="00D3485C" w:rsidRDefault="00D3485C" w:rsidP="00D3485C">
      <w:r>
        <w:t>2. Delta-Hedging and Capital Requirements</w:t>
      </w:r>
    </w:p>
    <w:p w14:paraId="66D63FCE" w14:textId="77777777" w:rsidR="00D3485C" w:rsidRDefault="00D3485C" w:rsidP="00D3485C">
      <w:r>
        <w:t>Each pair is delta-hedged using the regression beta:</w:t>
      </w:r>
    </w:p>
    <w:p w14:paraId="445AA1F8" w14:textId="77777777" w:rsidR="00D3485C" w:rsidRDefault="00D3485C" w:rsidP="00D3485C">
      <w:r>
        <w:t>- Long $100 of Stock 1</w:t>
      </w:r>
    </w:p>
    <w:p w14:paraId="640482A7" w14:textId="77777777" w:rsidR="00D3485C" w:rsidRDefault="00D3485C" w:rsidP="00D3485C">
      <w:r>
        <w:t>- Short $(beta * 100) of Stock 2</w:t>
      </w:r>
    </w:p>
    <w:p w14:paraId="7632BF02" w14:textId="77777777" w:rsidR="00D3485C" w:rsidRDefault="00D3485C" w:rsidP="00D3485C">
      <w:r>
        <w:t>Total capital per pair: $100 * (1 + beta)</w:t>
      </w:r>
    </w:p>
    <w:p w14:paraId="13D6ACEF" w14:textId="77777777" w:rsidR="00D3485C" w:rsidRDefault="00D3485C" w:rsidP="00D3485C">
      <w:r>
        <w:t>Portfolio capital: $2,894 for 20 pairs</w:t>
      </w:r>
    </w:p>
    <w:p w14:paraId="16DBB8FD" w14:textId="77777777" w:rsidR="00D3485C" w:rsidRDefault="00D3485C" w:rsidP="00D3485C">
      <w:r>
        <w:t>This construction ensures market neutrality: the portfolio has near-zero beta to broad market factors, isolating pair-specific alpha.</w:t>
      </w:r>
    </w:p>
    <w:p w14:paraId="06547D08" w14:textId="77777777" w:rsidR="00D3485C" w:rsidRDefault="00D3485C" w:rsidP="00D3485C"/>
    <w:p w14:paraId="724D5B71" w14:textId="77777777" w:rsidR="00D3485C" w:rsidRPr="00D3485C" w:rsidRDefault="00D3485C" w:rsidP="00D3485C">
      <w:pPr>
        <w:rPr>
          <w:b/>
          <w:bCs/>
          <w:u w:val="single"/>
        </w:rPr>
      </w:pPr>
      <w:r w:rsidRPr="00D3485C">
        <w:rPr>
          <w:b/>
          <w:bCs/>
          <w:u w:val="single"/>
        </w:rPr>
        <w:lastRenderedPageBreak/>
        <w:t>RESULTS AND ECONOMIC INTERPRETATION</w:t>
      </w:r>
    </w:p>
    <w:p w14:paraId="1CB9FF74" w14:textId="77777777" w:rsidR="00D3485C" w:rsidRDefault="00D3485C" w:rsidP="00D3485C"/>
    <w:p w14:paraId="2689D34B" w14:textId="77777777" w:rsidR="00D3485C" w:rsidRDefault="00D3485C" w:rsidP="00D3485C">
      <w:r>
        <w:t>Portfolio Performance (Sharpe-Weighted, Optimal Method):</w:t>
      </w:r>
    </w:p>
    <w:p w14:paraId="107BA909" w14:textId="77777777" w:rsidR="00D3485C" w:rsidRDefault="00D3485C" w:rsidP="00D3485C"/>
    <w:p w14:paraId="73106800" w14:textId="77777777" w:rsidR="00D3485C" w:rsidRDefault="00D3485C" w:rsidP="00D3485C">
      <w:r>
        <w:t>- Sharpe Ratio: 3.61</w:t>
      </w:r>
    </w:p>
    <w:p w14:paraId="5772CEDF" w14:textId="77777777" w:rsidR="00D3485C" w:rsidRDefault="00D3485C" w:rsidP="00D3485C">
      <w:r>
        <w:t>- Annual Return: 8.71%</w:t>
      </w:r>
    </w:p>
    <w:p w14:paraId="6A77190D" w14:textId="77777777" w:rsidR="00D3485C" w:rsidRDefault="00D3485C" w:rsidP="00D3485C">
      <w:r>
        <w:t>- Annual Volatility: 2.41%</w:t>
      </w:r>
    </w:p>
    <w:p w14:paraId="7608F1F8" w14:textId="77777777" w:rsidR="00D3485C" w:rsidRDefault="00D3485C" w:rsidP="00D3485C">
      <w:r>
        <w:t>- Maximum Drawdown: 0.98%</w:t>
      </w:r>
    </w:p>
    <w:p w14:paraId="5037A6A9" w14:textId="77777777" w:rsidR="00D3485C" w:rsidRDefault="00D3485C" w:rsidP="00D3485C">
      <w:r>
        <w:t>- Sortino Ratio: 7.25</w:t>
      </w:r>
    </w:p>
    <w:p w14:paraId="02018D12" w14:textId="77777777" w:rsidR="00D3485C" w:rsidRDefault="00D3485C" w:rsidP="00D3485C">
      <w:r>
        <w:t>- Average Correlation: 0.065</w:t>
      </w:r>
    </w:p>
    <w:p w14:paraId="108D9FB1" w14:textId="77777777" w:rsidR="00D3485C" w:rsidRDefault="00D3485C" w:rsidP="00D3485C"/>
    <w:p w14:paraId="24340CF7" w14:textId="77777777" w:rsidR="00D3485C" w:rsidRDefault="00D3485C" w:rsidP="00D3485C">
      <w:r>
        <w:t>Analysis:</w:t>
      </w:r>
    </w:p>
    <w:p w14:paraId="7BE22B08" w14:textId="77777777" w:rsidR="00D3485C" w:rsidRDefault="00D3485C" w:rsidP="00D3485C"/>
    <w:p w14:paraId="2E99C0CD" w14:textId="77777777" w:rsidR="00D3485C" w:rsidRDefault="00D3485C" w:rsidP="00D3485C">
      <w:r>
        <w:t>1. Sharpe Ratio of 3.61: This substantially exceeds benchmarks for equity strategies (S&amp;P 500 historical Sharpe ~0.5) and even high-quality hedge funds (target Sharpe ~1-2). The high Sharpe reflects the market-neutral nature of pairs trading, which eliminates systematic risk and isolates idiosyncratic alpha. The strategy generates returns from mean reversion rather than directional market exposure.</w:t>
      </w:r>
    </w:p>
    <w:p w14:paraId="5B864BB7" w14:textId="77777777" w:rsidR="00D3485C" w:rsidRDefault="00D3485C" w:rsidP="00D3485C"/>
    <w:p w14:paraId="4A13A41D" w14:textId="77777777" w:rsidR="00D3485C" w:rsidRDefault="00D3485C" w:rsidP="00D3485C">
      <w:r>
        <w:t>2. Low Volatility (2.41%): The remarkably low volatility stems from three sources:</w:t>
      </w:r>
    </w:p>
    <w:p w14:paraId="6E8BD74E" w14:textId="77777777" w:rsidR="00D3485C" w:rsidRDefault="00D3485C" w:rsidP="00D3485C">
      <w:r>
        <w:t xml:space="preserve">   a) Market neutrality: Beta-hedged positions eliminate systematic risk</w:t>
      </w:r>
    </w:p>
    <w:p w14:paraId="05CFC553" w14:textId="77777777" w:rsidR="00D3485C" w:rsidRDefault="00D3485C" w:rsidP="00D3485C">
      <w:r>
        <w:t xml:space="preserve">   b) Diversification: 20 pairs with average correlation of 0.065 provide substantial diversification benefit</w:t>
      </w:r>
    </w:p>
    <w:p w14:paraId="0ED1A98B" w14:textId="77777777" w:rsidR="00D3485C" w:rsidRDefault="00D3485C" w:rsidP="00D3485C">
      <w:r>
        <w:t xml:space="preserve">   c) Mean reversion: Spread trading naturally limits downside as reversals are bounded</w:t>
      </w:r>
    </w:p>
    <w:p w14:paraId="1C61E94E" w14:textId="77777777" w:rsidR="00D3485C" w:rsidRDefault="00D3485C" w:rsidP="00D3485C"/>
    <w:p w14:paraId="73400477" w14:textId="77777777" w:rsidR="00D3485C" w:rsidRDefault="00D3485C" w:rsidP="00D3485C">
      <w:r>
        <w:t>3. Minimal Drawdown (0.98%): Maximum drawdown below 1% indicates exceptional downside protection. This occurs because:</w:t>
      </w:r>
    </w:p>
    <w:p w14:paraId="79F82CBB" w14:textId="77777777" w:rsidR="00D3485C" w:rsidRDefault="00D3485C" w:rsidP="00D3485C">
      <w:r>
        <w:t xml:space="preserve">   a) Mean reversion limits losses: When spreads widen, they tend to revert before losses accumulate</w:t>
      </w:r>
    </w:p>
    <w:p w14:paraId="40D90A87" w14:textId="77777777" w:rsidR="00D3485C" w:rsidRDefault="00D3485C" w:rsidP="00D3485C">
      <w:r>
        <w:t xml:space="preserve">   b) Low correlation: Pairs rarely experience simultaneous adverse moves</w:t>
      </w:r>
    </w:p>
    <w:p w14:paraId="6175BBFA" w14:textId="77777777" w:rsidR="00D3485C" w:rsidRDefault="00D3485C" w:rsidP="00D3485C">
      <w:r>
        <w:t xml:space="preserve">   c) Disciplined exits: The z-score &lt; 1 exit rule crystallizes gains and limits losses</w:t>
      </w:r>
    </w:p>
    <w:p w14:paraId="7CB944FA" w14:textId="77777777" w:rsidR="00D3485C" w:rsidRDefault="00D3485C" w:rsidP="00D3485C"/>
    <w:p w14:paraId="6A981EE2" w14:textId="77777777" w:rsidR="00D3485C" w:rsidRDefault="00D3485C" w:rsidP="00D3485C">
      <w:r>
        <w:t>4. Strong Sortino Ratio (7.25): The Sortino ratio (return/downside deviation) exceeds the Sharpe ratio, indicating the strategy avoids large losses. This asymmetry is characteristic of well-designed mean reversion strategies where winning trades (mean reversion) are frequent and small, while losing trades (continued divergence) are rare due to the cointegration screening.</w:t>
      </w:r>
    </w:p>
    <w:p w14:paraId="68E5ABE0" w14:textId="77777777" w:rsidR="00D3485C" w:rsidRDefault="00D3485C" w:rsidP="00D3485C"/>
    <w:p w14:paraId="4DFFA02B" w14:textId="77777777" w:rsidR="00D3485C" w:rsidRDefault="00D3485C" w:rsidP="00D3485C">
      <w:r>
        <w:t>5. Low Pair Correlations (0.065): The average pairwise correlation of 6.5% confirms genuine diversification. This low correlation arises from:</w:t>
      </w:r>
    </w:p>
    <w:p w14:paraId="62B06BC2" w14:textId="77777777" w:rsidR="00D3485C" w:rsidRDefault="00D3485C" w:rsidP="00D3485C">
      <w:r>
        <w:t xml:space="preserve">   a) Cross-sector pairs: Many pairs span different industries (e.g., CVX-MAR, energy and hospitality)</w:t>
      </w:r>
    </w:p>
    <w:p w14:paraId="2522DF06" w14:textId="77777777" w:rsidR="00D3485C" w:rsidRDefault="00D3485C" w:rsidP="00D3485C">
      <w:r>
        <w:lastRenderedPageBreak/>
        <w:t xml:space="preserve">   b) Idiosyncratic relationships: Cointegration driven by sector rotation, supply chain linkages, or substitutability rather than common factors</w:t>
      </w:r>
    </w:p>
    <w:p w14:paraId="45D2B216" w14:textId="77777777" w:rsidR="00D3485C" w:rsidRDefault="00D3485C" w:rsidP="00D3485C">
      <w:r>
        <w:t xml:space="preserve">   c) Orthogonal risk factors: Each pair trades a unique spread unrelated to other pairs</w:t>
      </w:r>
    </w:p>
    <w:p w14:paraId="3F06C5B7" w14:textId="77777777" w:rsidR="00D3485C" w:rsidRDefault="00D3485C" w:rsidP="00D3485C"/>
    <w:p w14:paraId="01DBE184" w14:textId="6B9AADCB" w:rsidR="00D3485C" w:rsidRPr="00D3485C" w:rsidRDefault="00D3485C" w:rsidP="00D3485C">
      <w:pPr>
        <w:rPr>
          <w:b/>
          <w:bCs/>
          <w:u w:val="single"/>
        </w:rPr>
      </w:pPr>
      <w:r w:rsidRPr="00D3485C">
        <w:rPr>
          <w:b/>
          <w:bCs/>
          <w:u w:val="single"/>
        </w:rPr>
        <w:t>ECONOMIC INTERPRETATION:</w:t>
      </w:r>
    </w:p>
    <w:p w14:paraId="6B6724DF" w14:textId="77777777" w:rsidR="00D3485C" w:rsidRDefault="00D3485C" w:rsidP="00D3485C"/>
    <w:p w14:paraId="6EFE6763" w14:textId="77777777" w:rsidR="00D3485C" w:rsidRDefault="00D3485C" w:rsidP="00D3485C">
      <w:r>
        <w:t xml:space="preserve">The strategy exploits violations of the law of one price in a multi-asset setting. Cointegrated pairs represent securities with shared economic fundamentals (substitutability, common inputs, or linked demand). Temporary deviations from the equilibrium relationship create </w:t>
      </w:r>
      <w:proofErr w:type="spellStart"/>
      <w:r>
        <w:t>mispricings</w:t>
      </w:r>
      <w:proofErr w:type="spellEnd"/>
      <w:r>
        <w:t xml:space="preserve"> that informed traders can arbitrage. As positions are established, three mechanisms drive convergence:</w:t>
      </w:r>
    </w:p>
    <w:p w14:paraId="30D132C8" w14:textId="77777777" w:rsidR="00D3485C" w:rsidRDefault="00D3485C" w:rsidP="00D3485C"/>
    <w:p w14:paraId="6495F932" w14:textId="77777777" w:rsidR="00D3485C" w:rsidRDefault="00D3485C" w:rsidP="00D3485C">
      <w:r>
        <w:t>1. Information Efficiency: As more traders recognize the mispricing, their trades push prices toward equilibrium</w:t>
      </w:r>
    </w:p>
    <w:p w14:paraId="6885EB7F" w14:textId="77777777" w:rsidR="00D3485C" w:rsidRDefault="00D3485C" w:rsidP="00D3485C">
      <w:r>
        <w:t>2. Fundamental Linkages: Real economic relationships (e.g., input costs, demand substitution) mechanically restore the spread</w:t>
      </w:r>
    </w:p>
    <w:p w14:paraId="74A85C66" w14:textId="77777777" w:rsidR="00D3485C" w:rsidRDefault="00D3485C" w:rsidP="00D3485C">
      <w:r>
        <w:t>3. Regression to Mean: Statistical mean reversion in the absence of structural breaks</w:t>
      </w:r>
    </w:p>
    <w:p w14:paraId="79ED9928" w14:textId="77777777" w:rsidR="00D3485C" w:rsidRDefault="00D3485C" w:rsidP="00D3485C"/>
    <w:p w14:paraId="2B198726" w14:textId="77777777" w:rsidR="00D3485C" w:rsidRDefault="00D3485C" w:rsidP="00D3485C">
      <w:r>
        <w:t>The strategy's success validates several market microstructure concepts:</w:t>
      </w:r>
    </w:p>
    <w:p w14:paraId="0D627AC6" w14:textId="77777777" w:rsidR="00D3485C" w:rsidRDefault="00D3485C" w:rsidP="00D3485C">
      <w:r>
        <w:t>- Cointegration identifies genuine economic relationships, not spurious correlations</w:t>
      </w:r>
    </w:p>
    <w:p w14:paraId="160CB9BA" w14:textId="77777777" w:rsidR="00D3485C" w:rsidRDefault="00D3485C" w:rsidP="00D3485C">
      <w:r>
        <w:t>- Mean reversion is tradeable when properly identified and risk-managed</w:t>
      </w:r>
    </w:p>
    <w:p w14:paraId="013DC61A" w14:textId="77777777" w:rsidR="00D3485C" w:rsidRDefault="00D3485C" w:rsidP="00D3485C">
      <w:r>
        <w:t>- Market neutrality isolates alpha from beta, creating uncorrelated returns</w:t>
      </w:r>
    </w:p>
    <w:p w14:paraId="39E58965" w14:textId="77777777" w:rsidR="00D3485C" w:rsidRDefault="00D3485C" w:rsidP="00D3485C"/>
    <w:p w14:paraId="35D4B924" w14:textId="77777777" w:rsidR="00D3485C" w:rsidRDefault="00D3485C" w:rsidP="00D3485C">
      <w:r>
        <w:t>RISK CONSIDERATIONS</w:t>
      </w:r>
    </w:p>
    <w:p w14:paraId="3CCF6A07" w14:textId="77777777" w:rsidR="00D3485C" w:rsidRDefault="00D3485C" w:rsidP="00D3485C"/>
    <w:p w14:paraId="7C23611C" w14:textId="77777777" w:rsidR="00D3485C" w:rsidRDefault="00D3485C" w:rsidP="00D3485C">
      <w:r>
        <w:t>1. Model Risk: Cointegration relationships may break down due to structural changes (mergers, business model shifts, regulatory changes). The 2-year lookback partially mitigates this by excluding pairs with unstable relationships.</w:t>
      </w:r>
    </w:p>
    <w:p w14:paraId="745175D1" w14:textId="77777777" w:rsidR="00D3485C" w:rsidRDefault="00D3485C" w:rsidP="00D3485C"/>
    <w:p w14:paraId="7421BC7F" w14:textId="77777777" w:rsidR="00D3485C" w:rsidRDefault="00D3485C" w:rsidP="00D3485C">
      <w:r>
        <w:t xml:space="preserve">2. Execution Risk: The </w:t>
      </w:r>
      <w:proofErr w:type="spellStart"/>
      <w:r>
        <w:t>backtest</w:t>
      </w:r>
      <w:proofErr w:type="spellEnd"/>
      <w:r>
        <w:t xml:space="preserve"> assumes perfect execution at closing prices. Real-world slippage, bid-ask spreads, and market impact will reduce returns by approximately 10-20 bps per trade. With average 4.5 trades per pair over 480 days, this could reduce annual returns by ~50-100 bps.</w:t>
      </w:r>
    </w:p>
    <w:p w14:paraId="4D4951CA" w14:textId="77777777" w:rsidR="00D3485C" w:rsidRDefault="00D3485C" w:rsidP="00D3485C"/>
    <w:p w14:paraId="10D3A3C1" w14:textId="77777777" w:rsidR="00D3485C" w:rsidRDefault="00D3485C" w:rsidP="00D3485C">
      <w:r>
        <w:t>3. Transaction Costs: Assuming 5 bps per side (10 bps round-trip), the cost per pair is approximately 0.9% annually (4.5 trades * 2 legs * 10 bps). This would reduce portfolio returns from 8.71% to ~7.8%.</w:t>
      </w:r>
    </w:p>
    <w:p w14:paraId="223DCFC6" w14:textId="77777777" w:rsidR="00D3485C" w:rsidRDefault="00D3485C" w:rsidP="00D3485C"/>
    <w:p w14:paraId="38589C4C" w14:textId="77777777" w:rsidR="00D3485C" w:rsidRDefault="00D3485C" w:rsidP="00D3485C">
      <w:r>
        <w:t>4. Regime Risk: Mean reversion strategies underperform during regime shifts or trending markets. The max drawdown of 0.98% suggests this risk is currently well-managed, but future regime changes could increase drawdowns.</w:t>
      </w:r>
    </w:p>
    <w:p w14:paraId="3A70E062" w14:textId="77777777" w:rsidR="00D3485C" w:rsidRDefault="00D3485C" w:rsidP="00D3485C"/>
    <w:p w14:paraId="175CE21A" w14:textId="77777777" w:rsidR="00D3485C" w:rsidRDefault="00D3485C" w:rsidP="00D3485C">
      <w:r>
        <w:t>5. Capacity Constraints: Statistical arbitrage strategies face capacity limits due to:</w:t>
      </w:r>
    </w:p>
    <w:p w14:paraId="615AB265" w14:textId="77777777" w:rsidR="00D3485C" w:rsidRDefault="00D3485C" w:rsidP="00D3485C">
      <w:r>
        <w:t xml:space="preserve">   a) Limited liquidity in some pairs (particularly small-cap stocks)</w:t>
      </w:r>
    </w:p>
    <w:p w14:paraId="6F7ABA4F" w14:textId="77777777" w:rsidR="00D3485C" w:rsidRDefault="00D3485C" w:rsidP="00D3485C">
      <w:r>
        <w:lastRenderedPageBreak/>
        <w:t xml:space="preserve">   b) Market impact when scaling positions</w:t>
      </w:r>
    </w:p>
    <w:p w14:paraId="524A5EEF" w14:textId="77777777" w:rsidR="00D3485C" w:rsidRDefault="00D3485C" w:rsidP="00D3485C">
      <w:r>
        <w:t xml:space="preserve">   c) Crowding: As more capital pursues similar strategies, returns compress</w:t>
      </w:r>
    </w:p>
    <w:p w14:paraId="5E7D3187" w14:textId="77777777" w:rsidR="00D3485C" w:rsidRDefault="00D3485C" w:rsidP="00D3485C">
      <w:r>
        <w:t>For the current portfolio with ~$2,900 capital, capacity is not binding. Scaling to $1M+ would require careful consideration of market depth.</w:t>
      </w:r>
    </w:p>
    <w:p w14:paraId="03E1E8EE" w14:textId="77777777" w:rsidR="00D3485C" w:rsidRDefault="00D3485C" w:rsidP="00D3485C"/>
    <w:p w14:paraId="0CB1A09F" w14:textId="77777777" w:rsidR="00D3485C" w:rsidRPr="00D3485C" w:rsidRDefault="00D3485C" w:rsidP="00D3485C">
      <w:pPr>
        <w:rPr>
          <w:b/>
          <w:bCs/>
          <w:u w:val="single"/>
        </w:rPr>
      </w:pPr>
      <w:r w:rsidRPr="00D3485C">
        <w:rPr>
          <w:b/>
          <w:bCs/>
          <w:u w:val="single"/>
        </w:rPr>
        <w:t>CONCLUSION</w:t>
      </w:r>
    </w:p>
    <w:p w14:paraId="5D5AA813" w14:textId="77777777" w:rsidR="00D3485C" w:rsidRDefault="00D3485C" w:rsidP="00D3485C">
      <w:r>
        <w:t>This pairs trading strategy demonstrates that disciplined application of cointegration theory, mean reversion modeling, and portfolio optimization can generate substantial risk-adjusted returns. The Sharpe ratio of 3.61 with minimal drawdown reflects the power of statistical arbitrage when:</w:t>
      </w:r>
    </w:p>
    <w:p w14:paraId="79EEBAE3" w14:textId="77777777" w:rsidR="00D3485C" w:rsidRDefault="00D3485C" w:rsidP="00D3485C"/>
    <w:p w14:paraId="56849C70" w14:textId="77777777" w:rsidR="00D3485C" w:rsidRDefault="00D3485C" w:rsidP="00D3485C">
      <w:r>
        <w:t>1. Rigorous statistical filters identify genuine economic relationships</w:t>
      </w:r>
    </w:p>
    <w:p w14:paraId="387245D6" w14:textId="77777777" w:rsidR="00D3485C" w:rsidRDefault="00D3485C" w:rsidP="00D3485C">
      <w:r>
        <w:t>2. Mean reversion parameters guide trade timing and sizing</w:t>
      </w:r>
    </w:p>
    <w:p w14:paraId="12EDF1B8" w14:textId="77777777" w:rsidR="00D3485C" w:rsidRDefault="00D3485C" w:rsidP="00D3485C">
      <w:r>
        <w:t>3. Portfolio diversification and market neutrality limit risk</w:t>
      </w:r>
    </w:p>
    <w:p w14:paraId="4D5EE48D" w14:textId="77777777" w:rsidR="00D3485C" w:rsidRDefault="00D3485C" w:rsidP="00D3485C">
      <w:r>
        <w:t>4. Systematic execution eliminates behavioral biases</w:t>
      </w:r>
    </w:p>
    <w:p w14:paraId="4C72E4B7" w14:textId="77777777" w:rsidR="00D3485C" w:rsidRDefault="00D3485C" w:rsidP="00D3485C"/>
    <w:p w14:paraId="6EBD251B" w14:textId="77777777" w:rsidR="00D3485C" w:rsidRDefault="00D3485C" w:rsidP="00D3485C">
      <w:r>
        <w:t>The strategy is most appropriate for quantitative traders and institutional investors seeking market-neutral alpha with low correlation to traditional equity and fixed income portfolios. Future enhancements could include:</w:t>
      </w:r>
    </w:p>
    <w:p w14:paraId="69457AD6" w14:textId="77777777" w:rsidR="00D3485C" w:rsidRDefault="00D3485C" w:rsidP="00D3485C"/>
    <w:p w14:paraId="298651AA" w14:textId="77777777" w:rsidR="00D3485C" w:rsidRDefault="00D3485C" w:rsidP="00D3485C">
      <w:r>
        <w:t>- Dynamic position sizing based on spread volatility</w:t>
      </w:r>
    </w:p>
    <w:p w14:paraId="20F7AC25" w14:textId="77777777" w:rsidR="00D3485C" w:rsidRDefault="00D3485C" w:rsidP="00D3485C">
      <w:r>
        <w:t>- Machine learning for cointegration relationship strength prediction</w:t>
      </w:r>
    </w:p>
    <w:p w14:paraId="5893C28F" w14:textId="77777777" w:rsidR="00D3485C" w:rsidRDefault="00D3485C" w:rsidP="00D3485C">
      <w:r>
        <w:t>- Intraday execution to improve entry/exit prices</w:t>
      </w:r>
    </w:p>
    <w:p w14:paraId="379BCDDA" w14:textId="77777777" w:rsidR="00D3485C" w:rsidRDefault="00D3485C" w:rsidP="00D3485C">
      <w:r>
        <w:t>- Integration with options strategies for enhanced risk management</w:t>
      </w:r>
    </w:p>
    <w:p w14:paraId="6F34FF3B" w14:textId="77777777" w:rsidR="00D3485C" w:rsidRDefault="00D3485C" w:rsidP="00D3485C"/>
    <w:p w14:paraId="364697F5" w14:textId="5F306EDF" w:rsidR="00D3485C" w:rsidRDefault="00D3485C" w:rsidP="00D3485C">
      <w:r>
        <w:t xml:space="preserve">The results suggest that despite efficient markets, exploitable </w:t>
      </w:r>
      <w:proofErr w:type="spellStart"/>
      <w:r>
        <w:t>mispricings</w:t>
      </w:r>
      <w:proofErr w:type="spellEnd"/>
      <w:r>
        <w:t xml:space="preserve"> persist at the micro-structural level for investors with the tools and discipline to identify and trade them systematically.</w:t>
      </w:r>
    </w:p>
    <w:p w14:paraId="608C782B" w14:textId="4809AD35" w:rsidR="006E0CAD" w:rsidRDefault="001F6306" w:rsidP="009738D1">
      <w:r w:rsidRPr="001F6306">
        <w:lastRenderedPageBreak/>
        <w:drawing>
          <wp:inline distT="0" distB="0" distL="0" distR="0" wp14:anchorId="6922B5E6" wp14:editId="0C723964">
            <wp:extent cx="5731510" cy="4287520"/>
            <wp:effectExtent l="0" t="0" r="2540" b="0"/>
            <wp:docPr id="184373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30150" name=""/>
                    <pic:cNvPicPr/>
                  </pic:nvPicPr>
                  <pic:blipFill>
                    <a:blip r:embed="rId4"/>
                    <a:stretch>
                      <a:fillRect/>
                    </a:stretch>
                  </pic:blipFill>
                  <pic:spPr>
                    <a:xfrm>
                      <a:off x="0" y="0"/>
                      <a:ext cx="5731510" cy="4287520"/>
                    </a:xfrm>
                    <a:prstGeom prst="rect">
                      <a:avLst/>
                    </a:prstGeom>
                  </pic:spPr>
                </pic:pic>
              </a:graphicData>
            </a:graphic>
          </wp:inline>
        </w:drawing>
      </w:r>
    </w:p>
    <w:p w14:paraId="46C5CC9F" w14:textId="02B05A79" w:rsidR="004B502F" w:rsidRDefault="004B502F" w:rsidP="009738D1">
      <w:r w:rsidRPr="004B502F">
        <w:drawing>
          <wp:inline distT="0" distB="0" distL="0" distR="0" wp14:anchorId="428B91C6" wp14:editId="04A0EDE4">
            <wp:extent cx="5731510" cy="3462655"/>
            <wp:effectExtent l="0" t="0" r="2540" b="4445"/>
            <wp:docPr id="58311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12449" name=""/>
                    <pic:cNvPicPr/>
                  </pic:nvPicPr>
                  <pic:blipFill>
                    <a:blip r:embed="rId5"/>
                    <a:stretch>
                      <a:fillRect/>
                    </a:stretch>
                  </pic:blipFill>
                  <pic:spPr>
                    <a:xfrm>
                      <a:off x="0" y="0"/>
                      <a:ext cx="5731510" cy="3462655"/>
                    </a:xfrm>
                    <a:prstGeom prst="rect">
                      <a:avLst/>
                    </a:prstGeom>
                  </pic:spPr>
                </pic:pic>
              </a:graphicData>
            </a:graphic>
          </wp:inline>
        </w:drawing>
      </w:r>
    </w:p>
    <w:p w14:paraId="33078CC9" w14:textId="77777777" w:rsidR="004B502F" w:rsidRDefault="004B502F" w:rsidP="009738D1"/>
    <w:p w14:paraId="726CC762" w14:textId="3DBB5BC0" w:rsidR="004B502F" w:rsidRDefault="004B502F" w:rsidP="009738D1">
      <w:r w:rsidRPr="004B502F">
        <w:lastRenderedPageBreak/>
        <w:drawing>
          <wp:inline distT="0" distB="0" distL="0" distR="0" wp14:anchorId="57BBBAA7" wp14:editId="74458EBB">
            <wp:extent cx="5731510" cy="4311650"/>
            <wp:effectExtent l="0" t="0" r="2540" b="0"/>
            <wp:docPr id="49201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13537" name=""/>
                    <pic:cNvPicPr/>
                  </pic:nvPicPr>
                  <pic:blipFill>
                    <a:blip r:embed="rId6"/>
                    <a:stretch>
                      <a:fillRect/>
                    </a:stretch>
                  </pic:blipFill>
                  <pic:spPr>
                    <a:xfrm>
                      <a:off x="0" y="0"/>
                      <a:ext cx="5731510" cy="4311650"/>
                    </a:xfrm>
                    <a:prstGeom prst="rect">
                      <a:avLst/>
                    </a:prstGeom>
                  </pic:spPr>
                </pic:pic>
              </a:graphicData>
            </a:graphic>
          </wp:inline>
        </w:drawing>
      </w:r>
    </w:p>
    <w:p w14:paraId="2691D990" w14:textId="77777777" w:rsidR="004B502F" w:rsidRDefault="004B502F" w:rsidP="009738D1"/>
    <w:p w14:paraId="6EF1A8BA" w14:textId="36230F59" w:rsidR="004B502F" w:rsidRDefault="004B502F" w:rsidP="009738D1">
      <w:r w:rsidRPr="004B502F">
        <w:drawing>
          <wp:inline distT="0" distB="0" distL="0" distR="0" wp14:anchorId="7A10ACE9" wp14:editId="5CB3B89E">
            <wp:extent cx="5731510" cy="4989830"/>
            <wp:effectExtent l="0" t="0" r="2540" b="1270"/>
            <wp:docPr id="75180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07719" name=""/>
                    <pic:cNvPicPr/>
                  </pic:nvPicPr>
                  <pic:blipFill>
                    <a:blip r:embed="rId7"/>
                    <a:stretch>
                      <a:fillRect/>
                    </a:stretch>
                  </pic:blipFill>
                  <pic:spPr>
                    <a:xfrm>
                      <a:off x="0" y="0"/>
                      <a:ext cx="5731510" cy="4989830"/>
                    </a:xfrm>
                    <a:prstGeom prst="rect">
                      <a:avLst/>
                    </a:prstGeom>
                  </pic:spPr>
                </pic:pic>
              </a:graphicData>
            </a:graphic>
          </wp:inline>
        </w:drawing>
      </w:r>
    </w:p>
    <w:p w14:paraId="22CE7F0B" w14:textId="77777777" w:rsidR="004B502F" w:rsidRDefault="004B502F" w:rsidP="009738D1"/>
    <w:p w14:paraId="1A4A75CD" w14:textId="17DF9FEF" w:rsidR="004B502F" w:rsidRPr="009738D1" w:rsidRDefault="004B502F" w:rsidP="009738D1">
      <w:r w:rsidRPr="004B502F">
        <w:drawing>
          <wp:inline distT="0" distB="0" distL="0" distR="0" wp14:anchorId="79075FF3" wp14:editId="5383CFB6">
            <wp:extent cx="5731510" cy="2901950"/>
            <wp:effectExtent l="0" t="0" r="2540" b="0"/>
            <wp:docPr id="78348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81248" name=""/>
                    <pic:cNvPicPr/>
                  </pic:nvPicPr>
                  <pic:blipFill>
                    <a:blip r:embed="rId8"/>
                    <a:stretch>
                      <a:fillRect/>
                    </a:stretch>
                  </pic:blipFill>
                  <pic:spPr>
                    <a:xfrm>
                      <a:off x="0" y="0"/>
                      <a:ext cx="5731510" cy="2901950"/>
                    </a:xfrm>
                    <a:prstGeom prst="rect">
                      <a:avLst/>
                    </a:prstGeom>
                  </pic:spPr>
                </pic:pic>
              </a:graphicData>
            </a:graphic>
          </wp:inline>
        </w:drawing>
      </w:r>
    </w:p>
    <w:sectPr w:rsidR="004B502F" w:rsidRPr="009738D1" w:rsidSect="00D3485C">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E7"/>
    <w:rsid w:val="001F6306"/>
    <w:rsid w:val="004B502F"/>
    <w:rsid w:val="006E0CAD"/>
    <w:rsid w:val="00880CE7"/>
    <w:rsid w:val="008A5F0F"/>
    <w:rsid w:val="00913FB1"/>
    <w:rsid w:val="009738D1"/>
    <w:rsid w:val="00A57B02"/>
    <w:rsid w:val="00B53333"/>
    <w:rsid w:val="00D3485C"/>
    <w:rsid w:val="00DD0EAA"/>
    <w:rsid w:val="00F651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F91D9"/>
  <w15:chartTrackingRefBased/>
  <w15:docId w15:val="{9A3F9F7D-9E92-4462-AFAC-64FA36C22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80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C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C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C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CE7"/>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880CE7"/>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880CE7"/>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880CE7"/>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880CE7"/>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880CE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80CE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80CE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80CE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80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CE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880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CE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80CE7"/>
    <w:pPr>
      <w:spacing w:before="160"/>
      <w:jc w:val="center"/>
    </w:pPr>
    <w:rPr>
      <w:i/>
      <w:iCs/>
      <w:color w:val="404040" w:themeColor="text1" w:themeTint="BF"/>
    </w:rPr>
  </w:style>
  <w:style w:type="character" w:customStyle="1" w:styleId="QuoteChar">
    <w:name w:val="Quote Char"/>
    <w:basedOn w:val="DefaultParagraphFont"/>
    <w:link w:val="Quote"/>
    <w:uiPriority w:val="29"/>
    <w:rsid w:val="00880CE7"/>
    <w:rPr>
      <w:i/>
      <w:iCs/>
      <w:color w:val="404040" w:themeColor="text1" w:themeTint="BF"/>
      <w:lang w:val="en-US"/>
    </w:rPr>
  </w:style>
  <w:style w:type="paragraph" w:styleId="ListParagraph">
    <w:name w:val="List Paragraph"/>
    <w:basedOn w:val="Normal"/>
    <w:uiPriority w:val="34"/>
    <w:qFormat/>
    <w:rsid w:val="00880CE7"/>
    <w:pPr>
      <w:ind w:left="720"/>
      <w:contextualSpacing/>
    </w:pPr>
  </w:style>
  <w:style w:type="character" w:styleId="IntenseEmphasis">
    <w:name w:val="Intense Emphasis"/>
    <w:basedOn w:val="DefaultParagraphFont"/>
    <w:uiPriority w:val="21"/>
    <w:qFormat/>
    <w:rsid w:val="00880CE7"/>
    <w:rPr>
      <w:i/>
      <w:iCs/>
      <w:color w:val="2F5496" w:themeColor="accent1" w:themeShade="BF"/>
    </w:rPr>
  </w:style>
  <w:style w:type="paragraph" w:styleId="IntenseQuote">
    <w:name w:val="Intense Quote"/>
    <w:basedOn w:val="Normal"/>
    <w:next w:val="Normal"/>
    <w:link w:val="IntenseQuoteChar"/>
    <w:uiPriority w:val="30"/>
    <w:qFormat/>
    <w:rsid w:val="00880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CE7"/>
    <w:rPr>
      <w:i/>
      <w:iCs/>
      <w:color w:val="2F5496" w:themeColor="accent1" w:themeShade="BF"/>
      <w:lang w:val="en-US"/>
    </w:rPr>
  </w:style>
  <w:style w:type="character" w:styleId="IntenseReference">
    <w:name w:val="Intense Reference"/>
    <w:basedOn w:val="DefaultParagraphFont"/>
    <w:uiPriority w:val="32"/>
    <w:qFormat/>
    <w:rsid w:val="00880C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9</Pages>
  <Words>1922</Words>
  <Characters>10958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Patil</dc:creator>
  <cp:keywords/>
  <dc:description/>
  <cp:lastModifiedBy>Pushkar Patil</cp:lastModifiedBy>
  <cp:revision>1</cp:revision>
  <dcterms:created xsi:type="dcterms:W3CDTF">2025-12-15T21:24:00Z</dcterms:created>
  <dcterms:modified xsi:type="dcterms:W3CDTF">2025-12-15T23:58:00Z</dcterms:modified>
</cp:coreProperties>
</file>