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All,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Greetings from Unnat Bharat Abhiyan- SRMIST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Call for proposals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UBA Cell, SRMIST is now inviting proposals from students and Faculty members to provide technical solutions to the problems faced by the adopted villages thereby reaching their sustainability goals. Proposals are to be submitted to the mail ID: uba@srmist.edu.in (Nodal officer – Dr.V.Thirumurugan, Associate Director (CL)) on or before 01 February 2022. The proposals shall be pertaining to the following subject areas: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Rural energy systems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Sustainable Agriculture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Rural Craft and Artisans Development and rural Industrialization and entrepreneurship development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Water Resource Management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Sanitation and Solid – Liquid Waste Management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Rural Infrastructure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Ethos in technical Institutions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Capacity Building, Strategy for convergence and Implementation of various government schemes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Skill development, entrepreneurship, startups and digital know how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Curriculum reforms and educational Institutions social responsibility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Smart technologies for villages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proposals are to be typed in Times New Roman with 12 font size and the headings in 14 font size .  The proposal should have a project timeline of 6 months and therefore it should be an implementation or customization of your R&amp;D outcome. The proposals can be submitted in two categories: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Category A - TECHNOLOGY DEVELOPMENT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Category B - TECHNOLOGY CUSTOMISATION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proposal can be submitted by an individual or a team.  Projects can be submitted by students (mentored by staff), staff members or jointly submitted by staff members and students.  It is expected that each proposal should relate to the aforementioned thrust subject areas.  All proposals should be supported with the details of entire project team members indicating their affiliation, date of birth, highlights of academic and research activities / awards.  The size of the grant will be as prescribed by the UBA, Government of India.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Category A - Rs.100000 TECHNOLOGY DEVELOPMENT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Category B- Rs. 50000 for TECHNOLOGY CUSTOMISATION</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