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360"/>
        <w:jc w:val="center"/>
      </w:pPr>
      <w:r>
        <w:rPr>
          <w:rFonts w:ascii="Arial" w:hAnsi="Arial"/>
          <w:b/>
          <w:color w:val="1A365D"/>
          <w:sz w:val="40"/>
        </w:rPr>
        <w:t>APPROVAL NOTE</w:t>
      </w:r>
    </w:p>
    <w:p>
      <w:pPr>
        <w:spacing w:before="0" w:after="320"/>
        <w:jc w:val="center"/>
      </w:pPr>
      <w:r>
        <w:rPr>
          <w:rFonts w:ascii="Arial" w:hAnsi="Arial"/>
          <w:i/>
          <w:color w:val="64748B"/>
          <w:sz w:val="20"/>
        </w:rPr>
        <w:t>Automated Operational Assessment &amp; Executive Review</w:t>
      </w:r>
    </w:p>
    <w:p>
      <w:pPr>
        <w:keepNext/>
        <w:spacing w:before="200" w:after="120"/>
      </w:pPr>
      <w:r>
        <w:rPr>
          <w:rFonts w:ascii="Arial" w:hAnsi="Arial"/>
          <w:b/>
          <w:color w:val="1A365D"/>
          <w:sz w:val="26"/>
        </w:rPr>
        <w:t>1. Subject</w:t>
      </w:r>
    </w:p>
    <w:p>
      <w:pPr>
        <w:spacing w:after="160"/>
      </w:pPr>
      <w:r>
        <w:rPr>
          <w:rFonts w:ascii="Arial" w:hAnsi="Arial"/>
          <w:sz w:val="21"/>
        </w:rPr>
        <w:t>Inspection Report Analysis and Approval Recommendation — 127a43a0-a49f-434e-8deb-2fb106d1f599</w:t>
      </w:r>
    </w:p>
    <w:p>
      <w:pPr>
        <w:keepNext/>
        <w:spacing w:before="240" w:after="120"/>
      </w:pPr>
      <w:r>
        <w:rPr>
          <w:rFonts w:ascii="Arial" w:hAnsi="Arial"/>
          <w:b/>
          <w:color w:val="1A365D"/>
          <w:sz w:val="26"/>
        </w:rPr>
        <w:t>2. Background</w:t>
      </w:r>
    </w:p>
    <w:p>
      <w:pPr>
        <w:spacing w:after="160"/>
      </w:pPr>
      <w:r>
        <w:rPr>
          <w:rFonts w:ascii="Arial" w:hAnsi="Arial"/>
          <w:sz w:val="20"/>
        </w:rPr>
        <w:t>An industrial inspection identified 4 finding(s) on P-101 Process Pump. Operational parameters were recorded during standard inspection routines and evaluated against documented standard operating procedures (SOPs) to produce this assessment.</w:t>
      </w:r>
    </w:p>
    <w:p>
      <w:pPr>
        <w:keepNext/>
        <w:spacing w:before="240" w:after="120"/>
      </w:pPr>
      <w:r>
        <w:rPr>
          <w:rFonts w:ascii="Arial" w:hAnsi="Arial"/>
          <w:b/>
          <w:color w:val="1A365D"/>
          <w:sz w:val="26"/>
        </w:rPr>
        <w:t>3. Inspection Findings</w:t>
      </w:r>
    </w:p>
    <w:p>
      <w:pPr>
        <w:keepNext/>
        <w:spacing w:before="120" w:after="80"/>
      </w:pPr>
      <w:r>
        <w:rPr>
          <w:rFonts w:ascii="Arial" w:hAnsi="Arial"/>
          <w:b/>
          <w:color w:val="2D3748"/>
          <w:sz w:val="22"/>
        </w:rPr>
        <w:t>Finding 1</w:t>
      </w:r>
    </w:p>
    <w:tbl>
      <w:tblPr>
        <w:tblW w:type="auto" w:w="0"/>
        <w:jc w:val="center"/>
        <w:tblLayout w:type="fixed"/>
        <w:tblLook w:firstColumn="1" w:firstRow="1" w:lastColumn="0" w:lastRow="0" w:noHBand="0" w:noVBand="1" w:val="04A0"/>
      </w:tblPr>
      <w:tblGrid>
        <w:gridCol w:w="4680"/>
        <w:gridCol w:w="4680"/>
      </w:tblGrid>
      <w:tr>
        <w:tc>
          <w:tcPr>
            <w:tcW w:type="dxa" w:w="2592"/>
            <w:shd w:fill="EDF2F7"/>
            <w:tcMar>
              <w:top w:w="70" w:type="dxa"/>
              <w:bottom w:w="70" w:type="dxa"/>
              <w:left w:w="100" w:type="dxa"/>
              <w:right w:w="100" w:type="dxa"/>
            </w:tcMar>
          </w:tcPr>
          <w:p>
            <w:pPr>
              <w:spacing w:before="40" w:after="40"/>
            </w:pPr>
            <w:r>
              <w:rPr>
                <w:rFonts w:ascii="Arial" w:hAnsi="Arial"/>
                <w:b/>
                <w:color w:val="2D3748"/>
                <w:sz w:val="19"/>
              </w:rPr>
              <w:t>Finding</w:t>
            </w:r>
          </w:p>
        </w:tc>
        <w:tc>
          <w:tcPr>
            <w:tcW w:type="dxa" w:w="6768"/>
            <w:shd w:fill="FFFFFF"/>
            <w:tcMar>
              <w:top w:w="70" w:type="dxa"/>
              <w:bottom w:w="70" w:type="dxa"/>
              <w:left w:w="100" w:type="dxa"/>
              <w:right w:w="100" w:type="dxa"/>
            </w:tcMar>
          </w:tcPr>
          <w:p>
            <w:pPr>
              <w:spacing w:before="40" w:after="40"/>
            </w:pPr>
            <w:r>
              <w:rPr>
                <w:rFonts w:ascii="Arial" w:hAnsi="Arial"/>
                <w:sz w:val="19"/>
              </w:rPr>
              <w:t>Abnormal bearing temperature</w:t>
            </w:r>
          </w:p>
        </w:tc>
      </w:tr>
      <w:tr>
        <w:tc>
          <w:tcPr>
            <w:tcW w:type="dxa" w:w="2592"/>
            <w:shd w:fill="EDF2F7"/>
            <w:tcMar>
              <w:top w:w="70" w:type="dxa"/>
              <w:bottom w:w="70" w:type="dxa"/>
              <w:left w:w="100" w:type="dxa"/>
              <w:right w:w="100" w:type="dxa"/>
            </w:tcMar>
          </w:tcPr>
          <w:p>
            <w:pPr>
              <w:spacing w:before="40" w:after="40"/>
            </w:pPr>
            <w:r>
              <w:rPr>
                <w:rFonts w:ascii="Arial" w:hAnsi="Arial"/>
                <w:b/>
                <w:color w:val="2D3748"/>
                <w:sz w:val="19"/>
              </w:rPr>
              <w:t>Equipment</w:t>
            </w:r>
          </w:p>
        </w:tc>
        <w:tc>
          <w:tcPr>
            <w:tcW w:type="dxa" w:w="6768"/>
            <w:shd w:fill="FFFFFF"/>
            <w:tcMar>
              <w:top w:w="70" w:type="dxa"/>
              <w:bottom w:w="70" w:type="dxa"/>
              <w:left w:w="100" w:type="dxa"/>
              <w:right w:w="100" w:type="dxa"/>
            </w:tcMar>
          </w:tcPr>
          <w:p>
            <w:pPr>
              <w:spacing w:before="40" w:after="40"/>
            </w:pPr>
            <w:r>
              <w:rPr>
                <w:rFonts w:ascii="Arial" w:hAnsi="Arial"/>
                <w:sz w:val="19"/>
              </w:rPr>
              <w:t>P-101 Process Pump</w:t>
            </w:r>
          </w:p>
        </w:tc>
      </w:tr>
      <w:tr>
        <w:tc>
          <w:tcPr>
            <w:tcW w:type="dxa" w:w="2592"/>
            <w:shd w:fill="EDF2F7"/>
            <w:tcMar>
              <w:top w:w="70" w:type="dxa"/>
              <w:bottom w:w="70" w:type="dxa"/>
              <w:left w:w="100" w:type="dxa"/>
              <w:right w:w="100" w:type="dxa"/>
            </w:tcMar>
          </w:tcPr>
          <w:p>
            <w:pPr>
              <w:spacing w:before="40" w:after="40"/>
            </w:pPr>
            <w:r>
              <w:rPr>
                <w:rFonts w:ascii="Arial" w:hAnsi="Arial"/>
                <w:b/>
                <w:color w:val="2D3748"/>
                <w:sz w:val="19"/>
              </w:rPr>
              <w:t>Observed Value</w:t>
            </w:r>
          </w:p>
        </w:tc>
        <w:tc>
          <w:tcPr>
            <w:tcW w:type="dxa" w:w="6768"/>
            <w:shd w:fill="FFFFFF"/>
            <w:tcMar>
              <w:top w:w="70" w:type="dxa"/>
              <w:bottom w:w="70" w:type="dxa"/>
              <w:left w:w="100" w:type="dxa"/>
              <w:right w:w="100" w:type="dxa"/>
            </w:tcMar>
          </w:tcPr>
          <w:p>
            <w:pPr>
              <w:spacing w:before="40" w:after="40"/>
            </w:pPr>
            <w:r>
              <w:rPr>
                <w:rFonts w:ascii="Arial" w:hAnsi="Arial"/>
                <w:sz w:val="19"/>
              </w:rPr>
              <w:t>92 °C</w:t>
            </w:r>
          </w:p>
        </w:tc>
      </w:tr>
      <w:tr>
        <w:tc>
          <w:tcPr>
            <w:tcW w:type="dxa" w:w="2592"/>
            <w:shd w:fill="EDF2F7"/>
            <w:tcMar>
              <w:top w:w="70" w:type="dxa"/>
              <w:bottom w:w="70" w:type="dxa"/>
              <w:left w:w="100" w:type="dxa"/>
              <w:right w:w="100" w:type="dxa"/>
            </w:tcMar>
          </w:tcPr>
          <w:p>
            <w:pPr>
              <w:spacing w:before="40" w:after="40"/>
            </w:pPr>
            <w:r>
              <w:rPr>
                <w:rFonts w:ascii="Arial" w:hAnsi="Arial"/>
                <w:b/>
                <w:color w:val="2D3748"/>
                <w:sz w:val="19"/>
              </w:rPr>
              <w:t>Limit</w:t>
            </w:r>
          </w:p>
        </w:tc>
        <w:tc>
          <w:tcPr>
            <w:tcW w:type="dxa" w:w="6768"/>
            <w:shd w:fill="FFFFFF"/>
            <w:tcMar>
              <w:top w:w="70" w:type="dxa"/>
              <w:bottom w:w="70" w:type="dxa"/>
              <w:left w:w="100" w:type="dxa"/>
              <w:right w:w="100" w:type="dxa"/>
            </w:tcMar>
          </w:tcPr>
          <w:p>
            <w:pPr>
              <w:spacing w:before="40" w:after="40"/>
            </w:pPr>
            <w:r>
              <w:rPr>
                <w:rFonts w:ascii="Arial" w:hAnsi="Arial"/>
                <w:sz w:val="19"/>
              </w:rPr>
              <w:t>Up to 80 °C</w:t>
            </w:r>
          </w:p>
        </w:tc>
      </w:tr>
      <w:tr>
        <w:tc>
          <w:tcPr>
            <w:tcW w:type="dxa" w:w="2592"/>
            <w:shd w:fill="EDF2F7"/>
            <w:tcMar>
              <w:top w:w="70" w:type="dxa"/>
              <w:bottom w:w="70" w:type="dxa"/>
              <w:left w:w="100" w:type="dxa"/>
              <w:right w:w="100" w:type="dxa"/>
            </w:tcMar>
          </w:tcPr>
          <w:p>
            <w:pPr>
              <w:spacing w:before="40" w:after="40"/>
            </w:pPr>
            <w:r>
              <w:rPr>
                <w:rFonts w:ascii="Arial" w:hAnsi="Arial"/>
                <w:b/>
                <w:color w:val="2D3748"/>
                <w:sz w:val="19"/>
              </w:rPr>
              <w:t>Severity</w:t>
            </w:r>
          </w:p>
        </w:tc>
        <w:tc>
          <w:tcPr>
            <w:tcW w:type="dxa" w:w="6768"/>
            <w:shd w:fill="FFFFFF"/>
            <w:tcMar>
              <w:top w:w="70" w:type="dxa"/>
              <w:bottom w:w="70" w:type="dxa"/>
              <w:left w:w="100" w:type="dxa"/>
              <w:right w:w="100" w:type="dxa"/>
            </w:tcMar>
          </w:tcPr>
          <w:p>
            <w:pPr>
              <w:spacing w:before="40" w:after="40"/>
            </w:pPr>
            <w:r>
              <w:rPr>
                <w:rFonts w:ascii="Arial" w:hAnsi="Arial"/>
                <w:sz w:val="19"/>
              </w:rPr>
              <w:t>ABNORMAL</w:t>
            </w:r>
          </w:p>
        </w:tc>
      </w:tr>
      <w:tr>
        <w:tc>
          <w:tcPr>
            <w:tcW w:type="dxa" w:w="2592"/>
            <w:shd w:fill="EDF2F7"/>
            <w:tcMar>
              <w:top w:w="70" w:type="dxa"/>
              <w:bottom w:w="70" w:type="dxa"/>
              <w:left w:w="100" w:type="dxa"/>
              <w:right w:w="100" w:type="dxa"/>
            </w:tcMar>
          </w:tcPr>
          <w:p>
            <w:pPr>
              <w:spacing w:before="40" w:after="40"/>
            </w:pPr>
            <w:r>
              <w:rPr>
                <w:rFonts w:ascii="Arial" w:hAnsi="Arial"/>
                <w:b/>
                <w:color w:val="2D3748"/>
                <w:sz w:val="19"/>
              </w:rPr>
              <w:t>Evidence</w:t>
            </w:r>
          </w:p>
        </w:tc>
        <w:tc>
          <w:tcPr>
            <w:tcW w:type="dxa" w:w="6768"/>
            <w:shd w:fill="FFFFFF"/>
            <w:tcMar>
              <w:top w:w="70" w:type="dxa"/>
              <w:bottom w:w="70" w:type="dxa"/>
              <w:left w:w="100" w:type="dxa"/>
              <w:right w:w="100" w:type="dxa"/>
            </w:tcMar>
          </w:tcPr>
          <w:p>
            <w:pPr>
              <w:spacing w:before="40" w:after="40"/>
            </w:pPr>
            <w:r>
              <w:rPr>
                <w:rFonts w:ascii="Arial" w:hAnsi="Arial"/>
                <w:sz w:val="19"/>
              </w:rPr>
              <w:t>The observed bearing temperature was recorded above the normal operating limit.</w:t>
            </w:r>
          </w:p>
        </w:tc>
      </w:tr>
    </w:tbl>
    <w:p>
      <w:pPr>
        <w:spacing w:before="0" w:after="120"/>
      </w:pPr>
    </w:p>
    <w:p>
      <w:pPr>
        <w:keepNext/>
        <w:spacing w:before="120" w:after="80"/>
      </w:pPr>
      <w:r>
        <w:rPr>
          <w:rFonts w:ascii="Arial" w:hAnsi="Arial"/>
          <w:b/>
          <w:color w:val="2D3748"/>
          <w:sz w:val="22"/>
        </w:rPr>
        <w:t>Finding 2</w:t>
      </w:r>
    </w:p>
    <w:tbl>
      <w:tblPr>
        <w:tblW w:type="auto" w:w="0"/>
        <w:jc w:val="center"/>
        <w:tblLayout w:type="fixed"/>
        <w:tblLook w:firstColumn="1" w:firstRow="1" w:lastColumn="0" w:lastRow="0" w:noHBand="0" w:noVBand="1" w:val="04A0"/>
      </w:tblPr>
      <w:tblGrid>
        <w:gridCol w:w="4680"/>
        <w:gridCol w:w="4680"/>
      </w:tblGrid>
      <w:tr>
        <w:tc>
          <w:tcPr>
            <w:tcW w:type="dxa" w:w="2592"/>
            <w:shd w:fill="EDF2F7"/>
            <w:tcMar>
              <w:top w:w="70" w:type="dxa"/>
              <w:bottom w:w="70" w:type="dxa"/>
              <w:left w:w="100" w:type="dxa"/>
              <w:right w:w="100" w:type="dxa"/>
            </w:tcMar>
          </w:tcPr>
          <w:p>
            <w:pPr>
              <w:spacing w:before="40" w:after="40"/>
            </w:pPr>
            <w:r>
              <w:rPr>
                <w:rFonts w:ascii="Arial" w:hAnsi="Arial"/>
                <w:b/>
                <w:color w:val="2D3748"/>
                <w:sz w:val="19"/>
              </w:rPr>
              <w:t>Finding</w:t>
            </w:r>
          </w:p>
        </w:tc>
        <w:tc>
          <w:tcPr>
            <w:tcW w:type="dxa" w:w="6768"/>
            <w:shd w:fill="FFFFFF"/>
            <w:tcMar>
              <w:top w:w="70" w:type="dxa"/>
              <w:bottom w:w="70" w:type="dxa"/>
              <w:left w:w="100" w:type="dxa"/>
              <w:right w:w="100" w:type="dxa"/>
            </w:tcMar>
          </w:tcPr>
          <w:p>
            <w:pPr>
              <w:spacing w:before="40" w:after="40"/>
            </w:pPr>
            <w:r>
              <w:rPr>
                <w:rFonts w:ascii="Arial" w:hAnsi="Arial"/>
                <w:sz w:val="19"/>
              </w:rPr>
              <w:t>Abnormal vibration</w:t>
            </w:r>
          </w:p>
        </w:tc>
      </w:tr>
      <w:tr>
        <w:tc>
          <w:tcPr>
            <w:tcW w:type="dxa" w:w="2592"/>
            <w:shd w:fill="EDF2F7"/>
            <w:tcMar>
              <w:top w:w="70" w:type="dxa"/>
              <w:bottom w:w="70" w:type="dxa"/>
              <w:left w:w="100" w:type="dxa"/>
              <w:right w:w="100" w:type="dxa"/>
            </w:tcMar>
          </w:tcPr>
          <w:p>
            <w:pPr>
              <w:spacing w:before="40" w:after="40"/>
            </w:pPr>
            <w:r>
              <w:rPr>
                <w:rFonts w:ascii="Arial" w:hAnsi="Arial"/>
                <w:b/>
                <w:color w:val="2D3748"/>
                <w:sz w:val="19"/>
              </w:rPr>
              <w:t>Equipment</w:t>
            </w:r>
          </w:p>
        </w:tc>
        <w:tc>
          <w:tcPr>
            <w:tcW w:type="dxa" w:w="6768"/>
            <w:shd w:fill="FFFFFF"/>
            <w:tcMar>
              <w:top w:w="70" w:type="dxa"/>
              <w:bottom w:w="70" w:type="dxa"/>
              <w:left w:w="100" w:type="dxa"/>
              <w:right w:w="100" w:type="dxa"/>
            </w:tcMar>
          </w:tcPr>
          <w:p>
            <w:pPr>
              <w:spacing w:before="40" w:after="40"/>
            </w:pPr>
            <w:r>
              <w:rPr>
                <w:rFonts w:ascii="Arial" w:hAnsi="Arial"/>
                <w:sz w:val="19"/>
              </w:rPr>
              <w:t>P-101 Process Pump</w:t>
            </w:r>
          </w:p>
        </w:tc>
      </w:tr>
      <w:tr>
        <w:tc>
          <w:tcPr>
            <w:tcW w:type="dxa" w:w="2592"/>
            <w:shd w:fill="EDF2F7"/>
            <w:tcMar>
              <w:top w:w="70" w:type="dxa"/>
              <w:bottom w:w="70" w:type="dxa"/>
              <w:left w:w="100" w:type="dxa"/>
              <w:right w:w="100" w:type="dxa"/>
            </w:tcMar>
          </w:tcPr>
          <w:p>
            <w:pPr>
              <w:spacing w:before="40" w:after="40"/>
            </w:pPr>
            <w:r>
              <w:rPr>
                <w:rFonts w:ascii="Arial" w:hAnsi="Arial"/>
                <w:b/>
                <w:color w:val="2D3748"/>
                <w:sz w:val="19"/>
              </w:rPr>
              <w:t>Observed Value</w:t>
            </w:r>
          </w:p>
        </w:tc>
        <w:tc>
          <w:tcPr>
            <w:tcW w:type="dxa" w:w="6768"/>
            <w:shd w:fill="FFFFFF"/>
            <w:tcMar>
              <w:top w:w="70" w:type="dxa"/>
              <w:bottom w:w="70" w:type="dxa"/>
              <w:left w:w="100" w:type="dxa"/>
              <w:right w:w="100" w:type="dxa"/>
            </w:tcMar>
          </w:tcPr>
          <w:p>
            <w:pPr>
              <w:spacing w:before="40" w:after="40"/>
            </w:pPr>
            <w:r>
              <w:rPr>
                <w:rFonts w:ascii="Arial" w:hAnsi="Arial"/>
                <w:sz w:val="19"/>
              </w:rPr>
              <w:t>6.8 mm/s RMS</w:t>
            </w:r>
          </w:p>
        </w:tc>
      </w:tr>
      <w:tr>
        <w:tc>
          <w:tcPr>
            <w:tcW w:type="dxa" w:w="2592"/>
            <w:shd w:fill="EDF2F7"/>
            <w:tcMar>
              <w:top w:w="70" w:type="dxa"/>
              <w:bottom w:w="70" w:type="dxa"/>
              <w:left w:w="100" w:type="dxa"/>
              <w:right w:w="100" w:type="dxa"/>
            </w:tcMar>
          </w:tcPr>
          <w:p>
            <w:pPr>
              <w:spacing w:before="40" w:after="40"/>
            </w:pPr>
            <w:r>
              <w:rPr>
                <w:rFonts w:ascii="Arial" w:hAnsi="Arial"/>
                <w:b/>
                <w:color w:val="2D3748"/>
                <w:sz w:val="19"/>
              </w:rPr>
              <w:t>Limit</w:t>
            </w:r>
          </w:p>
        </w:tc>
        <w:tc>
          <w:tcPr>
            <w:tcW w:type="dxa" w:w="6768"/>
            <w:shd w:fill="FFFFFF"/>
            <w:tcMar>
              <w:top w:w="70" w:type="dxa"/>
              <w:bottom w:w="70" w:type="dxa"/>
              <w:left w:w="100" w:type="dxa"/>
              <w:right w:w="100" w:type="dxa"/>
            </w:tcMar>
          </w:tcPr>
          <w:p>
            <w:pPr>
              <w:spacing w:before="40" w:after="40"/>
            </w:pPr>
            <w:r>
              <w:rPr>
                <w:rFonts w:ascii="Arial" w:hAnsi="Arial"/>
                <w:sz w:val="19"/>
              </w:rPr>
              <w:t>Up to 4.5 mm/s RMS</w:t>
            </w:r>
          </w:p>
        </w:tc>
      </w:tr>
      <w:tr>
        <w:tc>
          <w:tcPr>
            <w:tcW w:type="dxa" w:w="2592"/>
            <w:shd w:fill="EDF2F7"/>
            <w:tcMar>
              <w:top w:w="70" w:type="dxa"/>
              <w:bottom w:w="70" w:type="dxa"/>
              <w:left w:w="100" w:type="dxa"/>
              <w:right w:w="100" w:type="dxa"/>
            </w:tcMar>
          </w:tcPr>
          <w:p>
            <w:pPr>
              <w:spacing w:before="40" w:after="40"/>
            </w:pPr>
            <w:r>
              <w:rPr>
                <w:rFonts w:ascii="Arial" w:hAnsi="Arial"/>
                <w:b/>
                <w:color w:val="2D3748"/>
                <w:sz w:val="19"/>
              </w:rPr>
              <w:t>Severity</w:t>
            </w:r>
          </w:p>
        </w:tc>
        <w:tc>
          <w:tcPr>
            <w:tcW w:type="dxa" w:w="6768"/>
            <w:shd w:fill="FFFFFF"/>
            <w:tcMar>
              <w:top w:w="70" w:type="dxa"/>
              <w:bottom w:w="70" w:type="dxa"/>
              <w:left w:w="100" w:type="dxa"/>
              <w:right w:w="100" w:type="dxa"/>
            </w:tcMar>
          </w:tcPr>
          <w:p>
            <w:pPr>
              <w:spacing w:before="40" w:after="40"/>
            </w:pPr>
            <w:r>
              <w:rPr>
                <w:rFonts w:ascii="Arial" w:hAnsi="Arial"/>
                <w:sz w:val="19"/>
              </w:rPr>
              <w:t>ABNORMAL</w:t>
            </w:r>
          </w:p>
        </w:tc>
      </w:tr>
      <w:tr>
        <w:tc>
          <w:tcPr>
            <w:tcW w:type="dxa" w:w="2592"/>
            <w:shd w:fill="EDF2F7"/>
            <w:tcMar>
              <w:top w:w="70" w:type="dxa"/>
              <w:bottom w:w="70" w:type="dxa"/>
              <w:left w:w="100" w:type="dxa"/>
              <w:right w:w="100" w:type="dxa"/>
            </w:tcMar>
          </w:tcPr>
          <w:p>
            <w:pPr>
              <w:spacing w:before="40" w:after="40"/>
            </w:pPr>
            <w:r>
              <w:rPr>
                <w:rFonts w:ascii="Arial" w:hAnsi="Arial"/>
                <w:b/>
                <w:color w:val="2D3748"/>
                <w:sz w:val="19"/>
              </w:rPr>
              <w:t>Evidence</w:t>
            </w:r>
          </w:p>
        </w:tc>
        <w:tc>
          <w:tcPr>
            <w:tcW w:type="dxa" w:w="6768"/>
            <w:shd w:fill="FFFFFF"/>
            <w:tcMar>
              <w:top w:w="70" w:type="dxa"/>
              <w:bottom w:w="70" w:type="dxa"/>
              <w:left w:w="100" w:type="dxa"/>
              <w:right w:w="100" w:type="dxa"/>
            </w:tcMar>
          </w:tcPr>
          <w:p>
            <w:pPr>
              <w:spacing w:before="40" w:after="40"/>
            </w:pPr>
            <w:r>
              <w:rPr>
                <w:rFonts w:ascii="Arial" w:hAnsi="Arial"/>
                <w:sz w:val="19"/>
              </w:rPr>
              <w:t>Vibration at the pump bearing housing was measured at 6.8 mm/s RMS, compared with the synthetic inspection criterion of 4.5 mm/s RMS.</w:t>
            </w:r>
          </w:p>
        </w:tc>
      </w:tr>
    </w:tbl>
    <w:p>
      <w:pPr>
        <w:spacing w:before="0" w:after="120"/>
      </w:pPr>
    </w:p>
    <w:p>
      <w:pPr>
        <w:keepNext/>
        <w:spacing w:before="120" w:after="80"/>
      </w:pPr>
      <w:r>
        <w:rPr>
          <w:rFonts w:ascii="Arial" w:hAnsi="Arial"/>
          <w:b/>
          <w:color w:val="2D3748"/>
          <w:sz w:val="22"/>
        </w:rPr>
        <w:t>Finding 3</w:t>
      </w:r>
    </w:p>
    <w:tbl>
      <w:tblPr>
        <w:tblW w:type="auto" w:w="0"/>
        <w:jc w:val="center"/>
        <w:tblLayout w:type="fixed"/>
        <w:tblLook w:firstColumn="1" w:firstRow="1" w:lastColumn="0" w:lastRow="0" w:noHBand="0" w:noVBand="1" w:val="04A0"/>
      </w:tblPr>
      <w:tblGrid>
        <w:gridCol w:w="4680"/>
        <w:gridCol w:w="4680"/>
      </w:tblGrid>
      <w:tr>
        <w:tc>
          <w:tcPr>
            <w:tcW w:type="dxa" w:w="2592"/>
            <w:shd w:fill="EDF2F7"/>
            <w:tcMar>
              <w:top w:w="70" w:type="dxa"/>
              <w:bottom w:w="70" w:type="dxa"/>
              <w:left w:w="100" w:type="dxa"/>
              <w:right w:w="100" w:type="dxa"/>
            </w:tcMar>
          </w:tcPr>
          <w:p>
            <w:pPr>
              <w:spacing w:before="40" w:after="40"/>
            </w:pPr>
            <w:r>
              <w:rPr>
                <w:rFonts w:ascii="Arial" w:hAnsi="Arial"/>
                <w:b/>
                <w:color w:val="2D3748"/>
                <w:sz w:val="19"/>
              </w:rPr>
              <w:t>Finding</w:t>
            </w:r>
          </w:p>
        </w:tc>
        <w:tc>
          <w:tcPr>
            <w:tcW w:type="dxa" w:w="6768"/>
            <w:shd w:fill="FFFFFF"/>
            <w:tcMar>
              <w:top w:w="70" w:type="dxa"/>
              <w:bottom w:w="70" w:type="dxa"/>
              <w:left w:w="100" w:type="dxa"/>
              <w:right w:w="100" w:type="dxa"/>
            </w:tcMar>
          </w:tcPr>
          <w:p>
            <w:pPr>
              <w:spacing w:before="40" w:after="40"/>
            </w:pPr>
            <w:r>
              <w:rPr>
                <w:rFonts w:ascii="Arial" w:hAnsi="Arial"/>
                <w:sz w:val="19"/>
              </w:rPr>
              <w:t>Inadequate lubrication condition</w:t>
            </w:r>
          </w:p>
        </w:tc>
      </w:tr>
      <w:tr>
        <w:tc>
          <w:tcPr>
            <w:tcW w:type="dxa" w:w="2592"/>
            <w:shd w:fill="EDF2F7"/>
            <w:tcMar>
              <w:top w:w="70" w:type="dxa"/>
              <w:bottom w:w="70" w:type="dxa"/>
              <w:left w:w="100" w:type="dxa"/>
              <w:right w:w="100" w:type="dxa"/>
            </w:tcMar>
          </w:tcPr>
          <w:p>
            <w:pPr>
              <w:spacing w:before="40" w:after="40"/>
            </w:pPr>
            <w:r>
              <w:rPr>
                <w:rFonts w:ascii="Arial" w:hAnsi="Arial"/>
                <w:b/>
                <w:color w:val="2D3748"/>
                <w:sz w:val="19"/>
              </w:rPr>
              <w:t>Equipment</w:t>
            </w:r>
          </w:p>
        </w:tc>
        <w:tc>
          <w:tcPr>
            <w:tcW w:type="dxa" w:w="6768"/>
            <w:shd w:fill="FFFFFF"/>
            <w:tcMar>
              <w:top w:w="70" w:type="dxa"/>
              <w:bottom w:w="70" w:type="dxa"/>
              <w:left w:w="100" w:type="dxa"/>
              <w:right w:w="100" w:type="dxa"/>
            </w:tcMar>
          </w:tcPr>
          <w:p>
            <w:pPr>
              <w:spacing w:before="40" w:after="40"/>
            </w:pPr>
            <w:r>
              <w:rPr>
                <w:rFonts w:ascii="Arial" w:hAnsi="Arial"/>
                <w:sz w:val="19"/>
              </w:rPr>
              <w:t>P-101 Process Pump</w:t>
            </w:r>
          </w:p>
        </w:tc>
      </w:tr>
      <w:tr>
        <w:tc>
          <w:tcPr>
            <w:tcW w:type="dxa" w:w="2592"/>
            <w:shd w:fill="EDF2F7"/>
            <w:tcMar>
              <w:top w:w="70" w:type="dxa"/>
              <w:bottom w:w="70" w:type="dxa"/>
              <w:left w:w="100" w:type="dxa"/>
              <w:right w:w="100" w:type="dxa"/>
            </w:tcMar>
          </w:tcPr>
          <w:p>
            <w:pPr>
              <w:spacing w:before="40" w:after="40"/>
            </w:pPr>
            <w:r>
              <w:rPr>
                <w:rFonts w:ascii="Arial" w:hAnsi="Arial"/>
                <w:b/>
                <w:color w:val="2D3748"/>
                <w:sz w:val="19"/>
              </w:rPr>
              <w:t>Observed Value</w:t>
            </w:r>
          </w:p>
        </w:tc>
        <w:tc>
          <w:tcPr>
            <w:tcW w:type="dxa" w:w="6768"/>
            <w:shd w:fill="FFFFFF"/>
            <w:tcMar>
              <w:top w:w="70" w:type="dxa"/>
              <w:bottom w:w="70" w:type="dxa"/>
              <w:left w:w="100" w:type="dxa"/>
              <w:right w:w="100" w:type="dxa"/>
            </w:tcMar>
          </w:tcPr>
          <w:p>
            <w:pPr>
              <w:spacing w:before="40" w:after="40"/>
            </w:pPr>
            <w:r>
              <w:rPr>
                <w:rFonts w:ascii="Arial" w:hAnsi="Arial"/>
                <w:sz w:val="19"/>
              </w:rPr>
              <w:t>Low / insufficient grease</w:t>
            </w:r>
          </w:p>
        </w:tc>
      </w:tr>
      <w:tr>
        <w:tc>
          <w:tcPr>
            <w:tcW w:type="dxa" w:w="2592"/>
            <w:shd w:fill="EDF2F7"/>
            <w:tcMar>
              <w:top w:w="70" w:type="dxa"/>
              <w:bottom w:w="70" w:type="dxa"/>
              <w:left w:w="100" w:type="dxa"/>
              <w:right w:w="100" w:type="dxa"/>
            </w:tcMar>
          </w:tcPr>
          <w:p>
            <w:pPr>
              <w:spacing w:before="40" w:after="40"/>
            </w:pPr>
            <w:r>
              <w:rPr>
                <w:rFonts w:ascii="Arial" w:hAnsi="Arial"/>
                <w:b/>
                <w:color w:val="2D3748"/>
                <w:sz w:val="19"/>
              </w:rPr>
              <w:t>Limit</w:t>
            </w:r>
          </w:p>
        </w:tc>
        <w:tc>
          <w:tcPr>
            <w:tcW w:type="dxa" w:w="6768"/>
            <w:shd w:fill="FFFFFF"/>
            <w:tcMar>
              <w:top w:w="70" w:type="dxa"/>
              <w:bottom w:w="70" w:type="dxa"/>
              <w:left w:w="100" w:type="dxa"/>
              <w:right w:w="100" w:type="dxa"/>
            </w:tcMar>
          </w:tcPr>
          <w:p>
            <w:pPr>
              <w:spacing w:before="40" w:after="40"/>
            </w:pPr>
            <w:r>
              <w:rPr>
                <w:rFonts w:ascii="Arial" w:hAnsi="Arial"/>
                <w:sz w:val="19"/>
              </w:rPr>
              <w:t>Adequate lubrication required</w:t>
            </w:r>
          </w:p>
        </w:tc>
      </w:tr>
      <w:tr>
        <w:tc>
          <w:tcPr>
            <w:tcW w:type="dxa" w:w="2592"/>
            <w:shd w:fill="EDF2F7"/>
            <w:tcMar>
              <w:top w:w="70" w:type="dxa"/>
              <w:bottom w:w="70" w:type="dxa"/>
              <w:left w:w="100" w:type="dxa"/>
              <w:right w:w="100" w:type="dxa"/>
            </w:tcMar>
          </w:tcPr>
          <w:p>
            <w:pPr>
              <w:spacing w:before="40" w:after="40"/>
            </w:pPr>
            <w:r>
              <w:rPr>
                <w:rFonts w:ascii="Arial" w:hAnsi="Arial"/>
                <w:b/>
                <w:color w:val="2D3748"/>
                <w:sz w:val="19"/>
              </w:rPr>
              <w:t>Severity</w:t>
            </w:r>
          </w:p>
        </w:tc>
        <w:tc>
          <w:tcPr>
            <w:tcW w:type="dxa" w:w="6768"/>
            <w:shd w:fill="FFFFFF"/>
            <w:tcMar>
              <w:top w:w="70" w:type="dxa"/>
              <w:bottom w:w="70" w:type="dxa"/>
              <w:left w:w="100" w:type="dxa"/>
              <w:right w:w="100" w:type="dxa"/>
            </w:tcMar>
          </w:tcPr>
          <w:p>
            <w:pPr>
              <w:spacing w:before="40" w:after="40"/>
            </w:pPr>
            <w:r>
              <w:rPr>
                <w:rFonts w:ascii="Arial" w:hAnsi="Arial"/>
                <w:sz w:val="19"/>
              </w:rPr>
              <w:t>ABNORMAL</w:t>
            </w:r>
          </w:p>
        </w:tc>
      </w:tr>
      <w:tr>
        <w:tc>
          <w:tcPr>
            <w:tcW w:type="dxa" w:w="2592"/>
            <w:shd w:fill="EDF2F7"/>
            <w:tcMar>
              <w:top w:w="70" w:type="dxa"/>
              <w:bottom w:w="70" w:type="dxa"/>
              <w:left w:w="100" w:type="dxa"/>
              <w:right w:w="100" w:type="dxa"/>
            </w:tcMar>
          </w:tcPr>
          <w:p>
            <w:pPr>
              <w:spacing w:before="40" w:after="40"/>
            </w:pPr>
            <w:r>
              <w:rPr>
                <w:rFonts w:ascii="Arial" w:hAnsi="Arial"/>
                <w:b/>
                <w:color w:val="2D3748"/>
                <w:sz w:val="19"/>
              </w:rPr>
              <w:t>Evidence</w:t>
            </w:r>
          </w:p>
        </w:tc>
        <w:tc>
          <w:tcPr>
            <w:tcW w:type="dxa" w:w="6768"/>
            <w:shd w:fill="FFFFFF"/>
            <w:tcMar>
              <w:top w:w="70" w:type="dxa"/>
              <w:bottom w:w="70" w:type="dxa"/>
              <w:left w:w="100" w:type="dxa"/>
              <w:right w:w="100" w:type="dxa"/>
            </w:tcMar>
          </w:tcPr>
          <w:p>
            <w:pPr>
              <w:spacing w:before="40" w:after="40"/>
            </w:pPr>
            <w:r>
              <w:rPr>
                <w:rFonts w:ascii="Arial" w:hAnsi="Arial"/>
                <w:sz w:val="19"/>
              </w:rPr>
              <w:t>Low / insufficient grease observed Adequate lubrication required</w:t>
            </w:r>
          </w:p>
        </w:tc>
      </w:tr>
    </w:tbl>
    <w:p>
      <w:pPr>
        <w:spacing w:before="0" w:after="120"/>
      </w:pPr>
    </w:p>
    <w:p>
      <w:pPr>
        <w:keepNext/>
        <w:spacing w:before="120" w:after="80"/>
      </w:pPr>
      <w:r>
        <w:rPr>
          <w:rFonts w:ascii="Arial" w:hAnsi="Arial"/>
          <w:b/>
          <w:color w:val="2D3748"/>
          <w:sz w:val="22"/>
        </w:rPr>
        <w:t>Finding 4</w:t>
      </w:r>
    </w:p>
    <w:tbl>
      <w:tblPr>
        <w:tblW w:type="auto" w:w="0"/>
        <w:jc w:val="center"/>
        <w:tblLayout w:type="fixed"/>
        <w:tblLook w:firstColumn="1" w:firstRow="1" w:lastColumn="0" w:lastRow="0" w:noHBand="0" w:noVBand="1" w:val="04A0"/>
      </w:tblPr>
      <w:tblGrid>
        <w:gridCol w:w="4680"/>
        <w:gridCol w:w="4680"/>
      </w:tblGrid>
      <w:tr>
        <w:tc>
          <w:tcPr>
            <w:tcW w:type="dxa" w:w="2592"/>
            <w:shd w:fill="EDF2F7"/>
            <w:tcMar>
              <w:top w:w="70" w:type="dxa"/>
              <w:bottom w:w="70" w:type="dxa"/>
              <w:left w:w="100" w:type="dxa"/>
              <w:right w:w="100" w:type="dxa"/>
            </w:tcMar>
          </w:tcPr>
          <w:p>
            <w:pPr>
              <w:spacing w:before="40" w:after="40"/>
            </w:pPr>
            <w:r>
              <w:rPr>
                <w:rFonts w:ascii="Arial" w:hAnsi="Arial"/>
                <w:b/>
                <w:color w:val="2D3748"/>
                <w:sz w:val="19"/>
              </w:rPr>
              <w:t>Finding</w:t>
            </w:r>
          </w:p>
        </w:tc>
        <w:tc>
          <w:tcPr>
            <w:tcW w:type="dxa" w:w="6768"/>
            <w:shd w:fill="FFFFFF"/>
            <w:tcMar>
              <w:top w:w="70" w:type="dxa"/>
              <w:bottom w:w="70" w:type="dxa"/>
              <w:left w:w="100" w:type="dxa"/>
              <w:right w:w="100" w:type="dxa"/>
            </w:tcMar>
          </w:tcPr>
          <w:p>
            <w:pPr>
              <w:spacing w:before="40" w:after="40"/>
            </w:pPr>
            <w:r>
              <w:rPr>
                <w:rFonts w:ascii="Arial" w:hAnsi="Arial"/>
                <w:sz w:val="19"/>
              </w:rPr>
              <w:t>Oil leakage</w:t>
            </w:r>
          </w:p>
        </w:tc>
      </w:tr>
      <w:tr>
        <w:tc>
          <w:tcPr>
            <w:tcW w:type="dxa" w:w="2592"/>
            <w:shd w:fill="EDF2F7"/>
            <w:tcMar>
              <w:top w:w="70" w:type="dxa"/>
              <w:bottom w:w="70" w:type="dxa"/>
              <w:left w:w="100" w:type="dxa"/>
              <w:right w:w="100" w:type="dxa"/>
            </w:tcMar>
          </w:tcPr>
          <w:p>
            <w:pPr>
              <w:spacing w:before="40" w:after="40"/>
            </w:pPr>
            <w:r>
              <w:rPr>
                <w:rFonts w:ascii="Arial" w:hAnsi="Arial"/>
                <w:b/>
                <w:color w:val="2D3748"/>
                <w:sz w:val="19"/>
              </w:rPr>
              <w:t>Equipment</w:t>
            </w:r>
          </w:p>
        </w:tc>
        <w:tc>
          <w:tcPr>
            <w:tcW w:type="dxa" w:w="6768"/>
            <w:shd w:fill="FFFFFF"/>
            <w:tcMar>
              <w:top w:w="70" w:type="dxa"/>
              <w:bottom w:w="70" w:type="dxa"/>
              <w:left w:w="100" w:type="dxa"/>
              <w:right w:w="100" w:type="dxa"/>
            </w:tcMar>
          </w:tcPr>
          <w:p>
            <w:pPr>
              <w:spacing w:before="40" w:after="40"/>
            </w:pPr>
            <w:r>
              <w:rPr>
                <w:rFonts w:ascii="Arial" w:hAnsi="Arial"/>
                <w:sz w:val="19"/>
              </w:rPr>
              <w:t>P-101 Process Pump</w:t>
            </w:r>
          </w:p>
        </w:tc>
      </w:tr>
      <w:tr>
        <w:tc>
          <w:tcPr>
            <w:tcW w:type="dxa" w:w="2592"/>
            <w:shd w:fill="EDF2F7"/>
            <w:tcMar>
              <w:top w:w="70" w:type="dxa"/>
              <w:bottom w:w="70" w:type="dxa"/>
              <w:left w:w="100" w:type="dxa"/>
              <w:right w:w="100" w:type="dxa"/>
            </w:tcMar>
          </w:tcPr>
          <w:p>
            <w:pPr>
              <w:spacing w:before="40" w:after="40"/>
            </w:pPr>
            <w:r>
              <w:rPr>
                <w:rFonts w:ascii="Arial" w:hAnsi="Arial"/>
                <w:b/>
                <w:color w:val="2D3748"/>
                <w:sz w:val="19"/>
              </w:rPr>
              <w:t>Observed Value</w:t>
            </w:r>
          </w:p>
        </w:tc>
        <w:tc>
          <w:tcPr>
            <w:tcW w:type="dxa" w:w="6768"/>
            <w:shd w:fill="FFFFFF"/>
            <w:tcMar>
              <w:top w:w="70" w:type="dxa"/>
              <w:bottom w:w="70" w:type="dxa"/>
              <w:left w:w="100" w:type="dxa"/>
              <w:right w:w="100" w:type="dxa"/>
            </w:tcMar>
          </w:tcPr>
          <w:p>
            <w:pPr>
              <w:spacing w:before="40" w:after="40"/>
            </w:pPr>
            <w:r>
              <w:rPr>
                <w:rFonts w:ascii="Arial" w:hAnsi="Arial"/>
                <w:sz w:val="19"/>
              </w:rPr>
              <w:t>No visible leakage</w:t>
            </w:r>
          </w:p>
        </w:tc>
      </w:tr>
      <w:tr>
        <w:tc>
          <w:tcPr>
            <w:tcW w:type="dxa" w:w="2592"/>
            <w:shd w:fill="EDF2F7"/>
            <w:tcMar>
              <w:top w:w="70" w:type="dxa"/>
              <w:bottom w:w="70" w:type="dxa"/>
              <w:left w:w="100" w:type="dxa"/>
              <w:right w:w="100" w:type="dxa"/>
            </w:tcMar>
          </w:tcPr>
          <w:p>
            <w:pPr>
              <w:spacing w:before="40" w:after="40"/>
            </w:pPr>
            <w:r>
              <w:rPr>
                <w:rFonts w:ascii="Arial" w:hAnsi="Arial"/>
                <w:b/>
                <w:color w:val="2D3748"/>
                <w:sz w:val="19"/>
              </w:rPr>
              <w:t>Limit</w:t>
            </w:r>
          </w:p>
        </w:tc>
        <w:tc>
          <w:tcPr>
            <w:tcW w:type="dxa" w:w="6768"/>
            <w:shd w:fill="FFFFFF"/>
            <w:tcMar>
              <w:top w:w="70" w:type="dxa"/>
              <w:bottom w:w="70" w:type="dxa"/>
              <w:left w:w="100" w:type="dxa"/>
              <w:right w:w="100" w:type="dxa"/>
            </w:tcMar>
          </w:tcPr>
          <w:p>
            <w:pPr>
              <w:spacing w:before="40" w:after="40"/>
            </w:pPr>
            <w:r>
              <w:rPr>
                <w:rFonts w:ascii="Arial" w:hAnsi="Arial"/>
                <w:sz w:val="19"/>
              </w:rPr>
              <w:t>Up to no visible leakage</w:t>
            </w:r>
          </w:p>
        </w:tc>
      </w:tr>
      <w:tr>
        <w:tc>
          <w:tcPr>
            <w:tcW w:type="dxa" w:w="2592"/>
            <w:shd w:fill="EDF2F7"/>
            <w:tcMar>
              <w:top w:w="70" w:type="dxa"/>
              <w:bottom w:w="70" w:type="dxa"/>
              <w:left w:w="100" w:type="dxa"/>
              <w:right w:w="100" w:type="dxa"/>
            </w:tcMar>
          </w:tcPr>
          <w:p>
            <w:pPr>
              <w:spacing w:before="40" w:after="40"/>
            </w:pPr>
            <w:r>
              <w:rPr>
                <w:rFonts w:ascii="Arial" w:hAnsi="Arial"/>
                <w:b/>
                <w:color w:val="2D3748"/>
                <w:sz w:val="19"/>
              </w:rPr>
              <w:t>Severity</w:t>
            </w:r>
          </w:p>
        </w:tc>
        <w:tc>
          <w:tcPr>
            <w:tcW w:type="dxa" w:w="6768"/>
            <w:shd w:fill="FFFFFF"/>
            <w:tcMar>
              <w:top w:w="70" w:type="dxa"/>
              <w:bottom w:w="70" w:type="dxa"/>
              <w:left w:w="100" w:type="dxa"/>
              <w:right w:w="100" w:type="dxa"/>
            </w:tcMar>
          </w:tcPr>
          <w:p>
            <w:pPr>
              <w:spacing w:before="40" w:after="40"/>
            </w:pPr>
            <w:r>
              <w:rPr>
                <w:rFonts w:ascii="Arial" w:hAnsi="Arial"/>
                <w:sz w:val="19"/>
              </w:rPr>
              <w:t>NORMAL</w:t>
            </w:r>
          </w:p>
        </w:tc>
      </w:tr>
      <w:tr>
        <w:tc>
          <w:tcPr>
            <w:tcW w:type="dxa" w:w="2592"/>
            <w:shd w:fill="EDF2F7"/>
            <w:tcMar>
              <w:top w:w="70" w:type="dxa"/>
              <w:bottom w:w="70" w:type="dxa"/>
              <w:left w:w="100" w:type="dxa"/>
              <w:right w:w="100" w:type="dxa"/>
            </w:tcMar>
          </w:tcPr>
          <w:p>
            <w:pPr>
              <w:spacing w:before="40" w:after="40"/>
            </w:pPr>
            <w:r>
              <w:rPr>
                <w:rFonts w:ascii="Arial" w:hAnsi="Arial"/>
                <w:b/>
                <w:color w:val="2D3748"/>
                <w:sz w:val="19"/>
              </w:rPr>
              <w:t>Evidence</w:t>
            </w:r>
          </w:p>
        </w:tc>
        <w:tc>
          <w:tcPr>
            <w:tcW w:type="dxa" w:w="6768"/>
            <w:shd w:fill="FFFFFF"/>
            <w:tcMar>
              <w:top w:w="70" w:type="dxa"/>
              <w:bottom w:w="70" w:type="dxa"/>
              <w:left w:w="100" w:type="dxa"/>
              <w:right w:w="100" w:type="dxa"/>
            </w:tcMar>
          </w:tcPr>
          <w:p>
            <w:pPr>
              <w:spacing w:before="40" w:after="40"/>
            </w:pPr>
            <w:r>
              <w:rPr>
                <w:rFonts w:ascii="Arial" w:hAnsi="Arial"/>
                <w:sz w:val="19"/>
              </w:rPr>
              <w:t>No visible leakage No visible leakage</w:t>
            </w:r>
          </w:p>
        </w:tc>
      </w:tr>
    </w:tbl>
    <w:p>
      <w:pPr>
        <w:spacing w:before="0" w:after="120"/>
      </w:pPr>
    </w:p>
    <w:p>
      <w:pPr>
        <w:keepNext/>
        <w:spacing w:before="240" w:after="120"/>
      </w:pPr>
      <w:r>
        <w:rPr>
          <w:rFonts w:ascii="Arial" w:hAnsi="Arial"/>
          <w:b/>
          <w:color w:val="1A365D"/>
          <w:sz w:val="26"/>
        </w:rPr>
        <w:t>4. Technical Analysis</w:t>
      </w:r>
    </w:p>
    <w:p>
      <w:pPr>
        <w:spacing w:after="160"/>
      </w:pPr>
      <w:r>
        <w:rPr>
          <w:rFonts w:ascii="Arial" w:hAnsi="Arial"/>
          <w:sz w:val="20"/>
        </w:rPr>
        <w:t>Evaluation was performed by correlating observed parameters against standard operating procedures (Demo_Maintenance_SOP.pdf, Maintenance_SOP.pdf). Assessment analysis indicates: Observed bearing temperature (92 °C) exceeded the normal operating limit (up to 80 °C) and the procedure instructs to record temperature and inspect bearing immediately.</w:t>
      </w:r>
    </w:p>
    <w:p>
      <w:pPr>
        <w:keepNext/>
        <w:spacing w:before="240" w:after="120"/>
      </w:pPr>
      <w:r>
        <w:rPr>
          <w:rFonts w:ascii="Arial" w:hAnsi="Arial"/>
          <w:b/>
          <w:color w:val="1A365D"/>
          <w:sz w:val="26"/>
        </w:rPr>
        <w:t>5. Risk Assessment</w:t>
      </w:r>
    </w:p>
    <w:tbl>
      <w:tblPr>
        <w:tblW w:type="auto" w:w="0"/>
        <w:jc w:val="center"/>
        <w:tblLayout w:type="fixed"/>
        <w:tblLook w:firstColumn="1" w:firstRow="1" w:lastColumn="0" w:lastRow="0" w:noHBand="0" w:noVBand="1" w:val="04A0"/>
      </w:tblPr>
      <w:tblGrid>
        <w:gridCol w:w="4680"/>
        <w:gridCol w:w="4680"/>
      </w:tblGrid>
      <w:tr>
        <w:tc>
          <w:tcPr>
            <w:tcW w:type="dxa" w:w="2592"/>
            <w:shd w:fill="EDF2F7"/>
            <w:tcMar>
              <w:top w:w="80" w:type="dxa"/>
              <w:bottom w:w="80" w:type="dxa"/>
              <w:left w:w="100" w:type="dxa"/>
              <w:right w:w="100" w:type="dxa"/>
            </w:tcMar>
          </w:tcPr>
          <w:p>
            <w:r>
              <w:rPr>
                <w:rFonts w:ascii="Arial" w:hAnsi="Arial"/>
                <w:b/>
                <w:sz w:val="20"/>
              </w:rPr>
              <w:t>Risk Level</w:t>
            </w:r>
          </w:p>
        </w:tc>
        <w:tc>
          <w:tcPr>
            <w:tcW w:type="dxa" w:w="6768"/>
            <w:shd w:fill="FED7D7"/>
            <w:tcMar>
              <w:top w:w="80" w:type="dxa"/>
              <w:bottom w:w="80" w:type="dxa"/>
              <w:left w:w="100" w:type="dxa"/>
              <w:right w:w="100" w:type="dxa"/>
            </w:tcMar>
          </w:tcPr>
          <w:p>
            <w:r>
              <w:rPr>
                <w:rFonts w:ascii="Arial" w:hAnsi="Arial"/>
                <w:b/>
                <w:color w:val="C53030"/>
                <w:sz w:val="22"/>
              </w:rPr>
              <w:t>HIGH</w:t>
            </w:r>
          </w:p>
        </w:tc>
      </w:tr>
      <w:tr>
        <w:tc>
          <w:tcPr>
            <w:tcW w:type="dxa" w:w="2592"/>
            <w:shd w:fill="EDF2F7"/>
            <w:tcMar>
              <w:top w:w="80" w:type="dxa"/>
              <w:bottom w:w="80" w:type="dxa"/>
              <w:left w:w="100" w:type="dxa"/>
              <w:right w:w="100" w:type="dxa"/>
            </w:tcMar>
          </w:tcPr>
          <w:p>
            <w:r>
              <w:rPr>
                <w:rFonts w:ascii="Arial" w:hAnsi="Arial"/>
                <w:b/>
                <w:sz w:val="20"/>
              </w:rPr>
              <w:t>Reason</w:t>
            </w:r>
          </w:p>
        </w:tc>
        <w:tc>
          <w:tcPr>
            <w:tcW w:type="dxa" w:w="6768"/>
            <w:shd w:fill="FFFFFF"/>
            <w:tcMar>
              <w:top w:w="80" w:type="dxa"/>
              <w:bottom w:w="80" w:type="dxa"/>
              <w:left w:w="100" w:type="dxa"/>
              <w:right w:w="100" w:type="dxa"/>
            </w:tcMar>
          </w:tcPr>
          <w:p>
            <w:r>
              <w:rPr>
                <w:rFonts w:ascii="Arial" w:hAnsi="Arial"/>
                <w:sz w:val="19"/>
              </w:rPr>
              <w:t>Observed bearing temperature (92 °C) exceeded the normal operating limit (up to 80 °C) and the procedure instructs to record temperature and inspect bearing immediately.</w:t>
            </w:r>
          </w:p>
        </w:tc>
      </w:tr>
    </w:tbl>
    <w:p>
      <w:pPr>
        <w:spacing w:after="120"/>
      </w:pPr>
    </w:p>
    <w:p>
      <w:pPr>
        <w:keepNext/>
        <w:spacing w:before="240" w:after="120"/>
      </w:pPr>
      <w:r>
        <w:rPr>
          <w:rFonts w:ascii="Arial" w:hAnsi="Arial"/>
          <w:b/>
          <w:color w:val="1A365D"/>
          <w:sz w:val="26"/>
        </w:rPr>
        <w:t>6. Recommendation</w:t>
      </w:r>
    </w:p>
    <w:tbl>
      <w:tblPr>
        <w:tblW w:type="auto" w:w="0"/>
        <w:jc w:val="center"/>
        <w:tblLook w:firstColumn="1" w:firstRow="1" w:lastColumn="0" w:lastRow="0" w:noHBand="0" w:noVBand="1" w:val="04A0"/>
      </w:tblPr>
      <w:tblGrid>
        <w:gridCol w:w="9360"/>
      </w:tblGrid>
      <w:tr>
        <w:tc>
          <w:tcPr>
            <w:tcW w:type="dxa" w:w="9360"/>
            <w:shd w:fill="EBF8FF"/>
            <w:tcMar>
              <w:top w:w="100" w:type="dxa"/>
              <w:bottom w:w="100" w:type="dxa"/>
              <w:left w:w="120" w:type="dxa"/>
              <w:right w:w="120" w:type="dxa"/>
            </w:tcMar>
          </w:tcPr>
          <w:p>
            <w:pPr>
              <w:spacing w:before="80" w:after="80"/>
            </w:pPr>
            <w:r>
              <w:rPr>
                <w:rFonts w:ascii="Arial" w:hAnsi="Arial"/>
                <w:b/>
                <w:color w:val="2B6CB0"/>
                <w:sz w:val="20"/>
              </w:rPr>
              <w:t>Schedule a maintenance inspection for the P-101 Process Pump bearing as soon as possible, and do not return the equipment to service until the inspection is complete. Perform immediate inspection of the pump bearing housing, check lubrication condition, and verify bearing temperature. If bearing temperature exceeds 80 degrees C, do not return equipment to service until inspection is complete. Check and top off lubrication condition immediately. Verify bearing temperature is within the acceptable range (&lt;80 degrees C). If bearing temperature exceeds 80 degrees C, record temperature and inspect bearing assembly, check lubrication condition, and check for abnormal vibration. Verify that the bearing temperature for the P-101 Process Pump is within the normal operating range of up to 80 degrees C.</w:t>
            </w:r>
          </w:p>
        </w:tc>
      </w:tr>
    </w:tbl>
    <w:p>
      <w:pPr>
        <w:spacing w:after="120"/>
      </w:pPr>
    </w:p>
    <w:p>
      <w:pPr>
        <w:keepNext/>
        <w:spacing w:before="240" w:after="120"/>
      </w:pPr>
      <w:r>
        <w:rPr>
          <w:rFonts w:ascii="Arial" w:hAnsi="Arial"/>
          <w:b/>
          <w:color w:val="1A365D"/>
          <w:sz w:val="26"/>
        </w:rPr>
        <w:t>7. References</w:t>
      </w:r>
    </w:p>
    <w:p>
      <w:pPr>
        <w:spacing w:after="80"/>
        <w:ind w:left="360"/>
      </w:pPr>
      <w:r>
        <w:rPr>
          <w:rFonts w:ascii="Arial" w:hAnsi="Arial"/>
          <w:b/>
          <w:sz w:val="19"/>
        </w:rPr>
        <w:t xml:space="preserve">[1] </w:t>
      </w:r>
      <w:r>
        <w:rPr>
          <w:rFonts w:ascii="Arial" w:hAnsi="Arial"/>
          <w:sz w:val="19"/>
        </w:rPr>
        <w:t>Filename: Maintenance_SOP.pdf | Page: 1 | Chunk Index: 0 | Document ID: doc_5d2f4720</w:t>
      </w:r>
    </w:p>
    <w:p>
      <w:pPr>
        <w:spacing w:after="80"/>
        <w:ind w:left="360"/>
      </w:pPr>
      <w:r>
        <w:rPr>
          <w:rFonts w:ascii="Arial" w:hAnsi="Arial"/>
          <w:b/>
          <w:sz w:val="19"/>
        </w:rPr>
        <w:t xml:space="preserve">[2] </w:t>
      </w:r>
      <w:r>
        <w:rPr>
          <w:rFonts w:ascii="Arial" w:hAnsi="Arial"/>
          <w:sz w:val="19"/>
        </w:rPr>
        <w:t>Filename: Demo_Maintenance_SOP.pdf | Page: 1 | Chunk Index: 0 | Document ID: 4b1c1b6e-ad6b-4169-9f90-944459337c0e</w:t>
      </w:r>
    </w:p>
    <w:p>
      <w:pPr>
        <w:spacing w:after="120"/>
      </w:pPr>
    </w:p>
    <w:p>
      <w:pPr>
        <w:keepNext/>
        <w:spacing w:before="240" w:after="120"/>
      </w:pPr>
      <w:r>
        <w:rPr>
          <w:rFonts w:ascii="Arial" w:hAnsi="Arial"/>
          <w:b/>
          <w:color w:val="1A365D"/>
          <w:sz w:val="26"/>
        </w:rPr>
        <w:t>8. Approval</w:t>
      </w:r>
    </w:p>
    <w:tbl>
      <w:tblPr>
        <w:tblW w:type="auto" w:w="0"/>
        <w:jc w:val="center"/>
        <w:tblLayout w:type="fixed"/>
        <w:tblLook w:firstColumn="1" w:firstRow="1" w:lastColumn="0" w:lastRow="0" w:noHBand="0" w:noVBand="1" w:val="04A0"/>
      </w:tblPr>
      <w:tblGrid>
        <w:gridCol w:w="4680"/>
        <w:gridCol w:w="4680"/>
      </w:tblGrid>
      <w:tr>
        <w:tc>
          <w:tcPr>
            <w:tcW w:type="dxa" w:w="2880"/>
            <w:shd w:fill="F7FAFC"/>
            <w:tcMar>
              <w:top w:w="60" w:type="dxa"/>
              <w:bottom w:w="60" w:type="dxa"/>
              <w:left w:w="80" w:type="dxa"/>
              <w:right w:w="80" w:type="dxa"/>
            </w:tcMar>
          </w:tcPr>
          <w:p>
            <w:pPr>
              <w:spacing w:before="40" w:after="40"/>
            </w:pPr>
            <w:r>
              <w:rPr>
                <w:rFonts w:ascii="Arial" w:hAnsi="Arial"/>
                <w:b/>
                <w:color w:val="4A5568"/>
                <w:sz w:val="19"/>
              </w:rPr>
              <w:t>Prepared By:</w:t>
            </w:r>
          </w:p>
        </w:tc>
        <w:tc>
          <w:tcPr>
            <w:tcW w:type="dxa" w:w="6480"/>
            <w:shd w:fill="FFFFFF"/>
            <w:tcMar>
              <w:top w:w="60" w:type="dxa"/>
              <w:bottom w:w="60" w:type="dxa"/>
              <w:left w:w="80" w:type="dxa"/>
              <w:right w:w="80" w:type="dxa"/>
            </w:tcMar>
          </w:tcPr>
          <w:p>
            <w:pPr>
              <w:spacing w:before="40" w:after="40"/>
            </w:pPr>
            <w:r>
              <w:rPr>
                <w:rFonts w:ascii="Arial" w:hAnsi="Arial"/>
                <w:sz w:val="19"/>
              </w:rPr>
              <w:t>SovereignAI</w:t>
            </w:r>
          </w:p>
        </w:tc>
      </w:tr>
      <w:tr>
        <w:tc>
          <w:tcPr>
            <w:tcW w:type="dxa" w:w="2880"/>
            <w:shd w:fill="F7FAFC"/>
            <w:tcMar>
              <w:top w:w="60" w:type="dxa"/>
              <w:bottom w:w="60" w:type="dxa"/>
              <w:left w:w="80" w:type="dxa"/>
              <w:right w:w="80" w:type="dxa"/>
            </w:tcMar>
          </w:tcPr>
          <w:p>
            <w:pPr>
              <w:spacing w:before="40" w:after="40"/>
            </w:pPr>
            <w:r>
              <w:rPr>
                <w:rFonts w:ascii="Arial" w:hAnsi="Arial"/>
                <w:b/>
                <w:color w:val="4A5568"/>
                <w:sz w:val="19"/>
              </w:rPr>
              <w:t>Reviewed By:</w:t>
            </w:r>
          </w:p>
        </w:tc>
        <w:tc>
          <w:tcPr>
            <w:tcW w:type="dxa" w:w="6480"/>
            <w:shd w:fill="FFFFFF"/>
            <w:tcMar>
              <w:top w:w="60" w:type="dxa"/>
              <w:bottom w:w="60" w:type="dxa"/>
              <w:left w:w="80" w:type="dxa"/>
              <w:right w:w="80" w:type="dxa"/>
            </w:tcMar>
          </w:tcPr>
          <w:p>
            <w:pPr>
              <w:spacing w:before="40" w:after="40"/>
            </w:pPr>
            <w:r>
              <w:rPr>
                <w:rFonts w:ascii="Arial" w:hAnsi="Arial"/>
                <w:sz w:val="19"/>
              </w:rPr>
              <w:t>____________________________________</w:t>
            </w:r>
          </w:p>
        </w:tc>
      </w:tr>
      <w:tr>
        <w:tc>
          <w:tcPr>
            <w:tcW w:type="dxa" w:w="2880"/>
            <w:shd w:fill="F7FAFC"/>
            <w:tcMar>
              <w:top w:w="60" w:type="dxa"/>
              <w:bottom w:w="60" w:type="dxa"/>
              <w:left w:w="80" w:type="dxa"/>
              <w:right w:w="80" w:type="dxa"/>
            </w:tcMar>
          </w:tcPr>
          <w:p>
            <w:pPr>
              <w:spacing w:before="40" w:after="40"/>
            </w:pPr>
            <w:r>
              <w:rPr>
                <w:rFonts w:ascii="Arial" w:hAnsi="Arial"/>
                <w:b/>
                <w:color w:val="4A5568"/>
                <w:sz w:val="19"/>
              </w:rPr>
              <w:t>Approved By:</w:t>
            </w:r>
          </w:p>
        </w:tc>
        <w:tc>
          <w:tcPr>
            <w:tcW w:type="dxa" w:w="6480"/>
            <w:shd w:fill="FFFFFF"/>
            <w:tcMar>
              <w:top w:w="60" w:type="dxa"/>
              <w:bottom w:w="60" w:type="dxa"/>
              <w:left w:w="80" w:type="dxa"/>
              <w:right w:w="80" w:type="dxa"/>
            </w:tcMar>
          </w:tcPr>
          <w:p>
            <w:pPr>
              <w:spacing w:before="40" w:after="40"/>
            </w:pPr>
            <w:r>
              <w:rPr>
                <w:rFonts w:ascii="Arial" w:hAnsi="Arial"/>
                <w:sz w:val="19"/>
              </w:rPr>
              <w:t>____________________________________</w:t>
            </w:r>
          </w:p>
        </w:tc>
      </w:tr>
      <w:tr>
        <w:tc>
          <w:tcPr>
            <w:tcW w:type="dxa" w:w="2880"/>
            <w:shd w:fill="F7FAFC"/>
            <w:tcMar>
              <w:top w:w="60" w:type="dxa"/>
              <w:bottom w:w="60" w:type="dxa"/>
              <w:left w:w="80" w:type="dxa"/>
              <w:right w:w="80" w:type="dxa"/>
            </w:tcMar>
          </w:tcPr>
          <w:p>
            <w:pPr>
              <w:spacing w:before="40" w:after="40"/>
            </w:pPr>
            <w:r>
              <w:rPr>
                <w:rFonts w:ascii="Arial" w:hAnsi="Arial"/>
                <w:b/>
                <w:color w:val="4A5568"/>
                <w:sz w:val="19"/>
              </w:rPr>
              <w:t>Date:</w:t>
            </w:r>
          </w:p>
        </w:tc>
        <w:tc>
          <w:tcPr>
            <w:tcW w:type="dxa" w:w="6480"/>
            <w:shd w:fill="FFFFFF"/>
            <w:tcMar>
              <w:top w:w="60" w:type="dxa"/>
              <w:bottom w:w="60" w:type="dxa"/>
              <w:left w:w="80" w:type="dxa"/>
              <w:right w:w="80" w:type="dxa"/>
            </w:tcMar>
          </w:tcPr>
          <w:p>
            <w:pPr>
              <w:spacing w:before="40" w:after="40"/>
            </w:pPr>
            <w:r>
              <w:rPr>
                <w:rFonts w:ascii="Arial" w:hAnsi="Arial"/>
                <w:sz w:val="19"/>
              </w:rPr>
              <w:t>____________________________________</w:t>
            </w:r>
          </w:p>
        </w:tc>
      </w:tr>
    </w:tbl>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808080"/>
        <w:sz w:val="17"/>
      </w:rPr>
      <w:t>CONFIDENTIAL — For Authorized Operational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808080"/>
        <w:sz w:val="17"/>
      </w:rPr>
      <w:t>SovereignAI — Industrial Inspection &amp; Approval Note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