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jc w:val="center"/>
      </w:pPr>
      <w:r>
        <w:rPr>
          <w:rFonts w:ascii="Arial" w:hAnsi="Arial"/>
          <w:b/>
          <w:color w:val="1A365D"/>
          <w:sz w:val="40"/>
        </w:rPr>
        <w:t>APPROVAL NOTE</w:t>
      </w:r>
    </w:p>
    <w:p>
      <w:pPr>
        <w:spacing w:before="0" w:after="320"/>
        <w:jc w:val="center"/>
      </w:pPr>
      <w:r>
        <w:rPr>
          <w:rFonts w:ascii="Arial" w:hAnsi="Arial"/>
          <w:i/>
          <w:color w:val="64748B"/>
          <w:sz w:val="20"/>
        </w:rPr>
        <w:t>Automated Operational Assessment &amp; Executive Review</w:t>
      </w:r>
    </w:p>
    <w:p>
      <w:pPr>
        <w:keepNext/>
        <w:spacing w:before="200" w:after="120"/>
      </w:pPr>
      <w:r>
        <w:rPr>
          <w:rFonts w:ascii="Arial" w:hAnsi="Arial"/>
          <w:b/>
          <w:color w:val="1A365D"/>
          <w:sz w:val="26"/>
        </w:rPr>
        <w:t>1. Subject</w:t>
      </w:r>
    </w:p>
    <w:p>
      <w:pPr>
        <w:spacing w:after="160"/>
      </w:pPr>
      <w:r>
        <w:rPr>
          <w:rFonts w:ascii="Arial" w:hAnsi="Arial"/>
          <w:sz w:val="21"/>
        </w:rPr>
        <w:t>Inspection Report Analysis and Approval Recommendation — 127a43a0-a49f-434e-8deb-2fb106d1f599</w:t>
      </w:r>
    </w:p>
    <w:p>
      <w:pPr>
        <w:keepNext/>
        <w:spacing w:before="240" w:after="120"/>
      </w:pPr>
      <w:r>
        <w:rPr>
          <w:rFonts w:ascii="Arial" w:hAnsi="Arial"/>
          <w:b/>
          <w:color w:val="1A365D"/>
          <w:sz w:val="26"/>
        </w:rPr>
        <w:t>2. Background</w:t>
      </w:r>
    </w:p>
    <w:p>
      <w:pPr>
        <w:spacing w:after="160"/>
      </w:pPr>
      <w:r>
        <w:rPr>
          <w:rFonts w:ascii="Arial" w:hAnsi="Arial"/>
          <w:sz w:val="20"/>
        </w:rPr>
        <w:t>An industrial inspection identified 5 finding(s) on P-101 Process Pump. Operational parameters were recorded during standard inspection routines and evaluated against documented standard operating procedures (SOPs) to produce this assessment.</w:t>
      </w:r>
    </w:p>
    <w:p>
      <w:pPr>
        <w:keepNext/>
        <w:spacing w:before="240" w:after="120"/>
      </w:pPr>
      <w:r>
        <w:rPr>
          <w:rFonts w:ascii="Arial" w:hAnsi="Arial"/>
          <w:b/>
          <w:color w:val="1A365D"/>
          <w:sz w:val="26"/>
        </w:rPr>
        <w:t>3. Inspection Findings</w:t>
      </w:r>
    </w:p>
    <w:p>
      <w:pPr>
        <w:keepNext/>
        <w:spacing w:before="120" w:after="80"/>
      </w:pPr>
      <w:r>
        <w:rPr>
          <w:rFonts w:ascii="Arial" w:hAnsi="Arial"/>
          <w:b/>
          <w:color w:val="2D3748"/>
          <w:sz w:val="22"/>
        </w:rPr>
        <w:t>Finding 1</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Bearing temperature exceeded the normal operating limit.</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 Process Pump</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92 °C</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up to 80 °C</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The applicable synthetic maintenance SOP states that normal bearing operating temperature is up to 80 °C. The reading therefore exceeds the documented limit by 12 °C.</w:t>
            </w:r>
          </w:p>
        </w:tc>
      </w:tr>
    </w:tbl>
    <w:p>
      <w:pPr>
        <w:spacing w:before="0" w:after="120"/>
      </w:pPr>
    </w:p>
    <w:p>
      <w:pPr>
        <w:keepNext/>
        <w:spacing w:before="120" w:after="80"/>
      </w:pPr>
      <w:r>
        <w:rPr>
          <w:rFonts w:ascii="Arial" w:hAnsi="Arial"/>
          <w:b/>
          <w:color w:val="2D3748"/>
          <w:sz w:val="22"/>
        </w:rPr>
        <w:t>Finding 2</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Abnormal vibration was recorded.</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 Process Pump</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6.8 mm/s RMS</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up to 4.5 mm/s RMS</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Vibration at the pump bearing housing was measured at 6.8 mm/s RMS, compared with the synthetic inspection criterion of 4.5 mm/s RMS.</w:t>
            </w:r>
          </w:p>
        </w:tc>
      </w:tr>
    </w:tbl>
    <w:p>
      <w:pPr>
        <w:spacing w:before="0" w:after="120"/>
      </w:pPr>
    </w:p>
    <w:p>
      <w:pPr>
        <w:keepNext/>
        <w:spacing w:before="120" w:after="80"/>
      </w:pPr>
      <w:r>
        <w:rPr>
          <w:rFonts w:ascii="Arial" w:hAnsi="Arial"/>
          <w:b/>
          <w:color w:val="2D3748"/>
          <w:sz w:val="22"/>
        </w:rPr>
        <w:t>Finding 3</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Inadequate lubrication condition was observed.</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 Process Pump</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Low / insufficient grease</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Adequate lubrication required</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ABNORMAL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Low / insufficient grease observed Adequate lubrication required</w:t>
            </w:r>
          </w:p>
        </w:tc>
      </w:tr>
    </w:tbl>
    <w:p>
      <w:pPr>
        <w:spacing w:before="0" w:after="120"/>
      </w:pPr>
    </w:p>
    <w:p>
      <w:pPr>
        <w:keepNext/>
        <w:spacing w:before="120" w:after="80"/>
      </w:pPr>
      <w:r>
        <w:rPr>
          <w:rFonts w:ascii="Arial" w:hAnsi="Arial"/>
          <w:b/>
          <w:color w:val="2D3748"/>
          <w:sz w:val="22"/>
        </w:rPr>
        <w:t>Finding 4</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Oil leakage was not observed.</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 Process Pump</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No visible leakage</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No visible leakage</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NORMAL</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No visible leakage No visible leakage</w:t>
            </w:r>
          </w:p>
        </w:tc>
      </w:tr>
    </w:tbl>
    <w:p>
      <w:pPr>
        <w:spacing w:before="0" w:after="120"/>
      </w:pPr>
    </w:p>
    <w:p>
      <w:pPr>
        <w:keepNext/>
        <w:spacing w:before="120" w:after="80"/>
      </w:pPr>
      <w:r>
        <w:rPr>
          <w:rFonts w:ascii="Arial" w:hAnsi="Arial"/>
          <w:b/>
          <w:color w:val="2D3748"/>
          <w:sz w:val="22"/>
        </w:rPr>
        <w:t>Finding 5</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70" w:type="dxa"/>
              <w:bottom w:w="70" w:type="dxa"/>
              <w:left w:w="100" w:type="dxa"/>
              <w:right w:w="100" w:type="dxa"/>
            </w:tcMar>
          </w:tcPr>
          <w:p>
            <w:pPr>
              <w:spacing w:before="40" w:after="40"/>
            </w:pPr>
            <w:r>
              <w:rPr>
                <w:rFonts w:ascii="Arial" w:hAnsi="Arial"/>
                <w:b/>
                <w:color w:val="2D3748"/>
                <w:sz w:val="19"/>
              </w:rPr>
              <w:t>Finding</w:t>
            </w:r>
          </w:p>
        </w:tc>
        <w:tc>
          <w:tcPr>
            <w:tcW w:type="dxa" w:w="6768"/>
            <w:shd w:fill="FFFFFF"/>
            <w:tcMar>
              <w:top w:w="70" w:type="dxa"/>
              <w:bottom w:w="70" w:type="dxa"/>
              <w:left w:w="100" w:type="dxa"/>
              <w:right w:w="100" w:type="dxa"/>
            </w:tcMar>
          </w:tcPr>
          <w:p>
            <w:pPr>
              <w:spacing w:before="40" w:after="40"/>
            </w:pPr>
            <w:r>
              <w:rPr>
                <w:rFonts w:ascii="Arial" w:hAnsi="Arial"/>
                <w:sz w:val="19"/>
              </w:rPr>
              <w:t>Equipment was kept out of normal service pending inspection and corrective action.</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Equipment</w:t>
            </w:r>
          </w:p>
        </w:tc>
        <w:tc>
          <w:tcPr>
            <w:tcW w:type="dxa" w:w="6768"/>
            <w:shd w:fill="FFFFFF"/>
            <w:tcMar>
              <w:top w:w="70" w:type="dxa"/>
              <w:bottom w:w="70" w:type="dxa"/>
              <w:left w:w="100" w:type="dxa"/>
              <w:right w:w="100" w:type="dxa"/>
            </w:tcMar>
          </w:tcPr>
          <w:p>
            <w:pPr>
              <w:spacing w:before="40" w:after="40"/>
            </w:pPr>
            <w:r>
              <w:rPr>
                <w:rFonts w:ascii="Arial" w:hAnsi="Arial"/>
                <w:sz w:val="19"/>
              </w:rPr>
              <w:t>P-101 Process Pump</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Observed Value</w:t>
            </w:r>
          </w:p>
        </w:tc>
        <w:tc>
          <w:tcPr>
            <w:tcW w:type="dxa" w:w="6768"/>
            <w:shd w:fill="FFFFFF"/>
            <w:tcMar>
              <w:top w:w="70" w:type="dxa"/>
              <w:bottom w:w="70" w:type="dxa"/>
              <w:left w:w="100" w:type="dxa"/>
              <w:right w:w="100" w:type="dxa"/>
            </w:tcMar>
          </w:tcPr>
          <w:p>
            <w:pPr>
              <w:spacing w:before="40" w:after="40"/>
            </w:pPr>
            <w:r>
              <w:rPr>
                <w:rFonts w:ascii="Arial" w:hAnsi="Arial"/>
                <w:sz w:val="19"/>
              </w:rPr>
              <w:t>N/A</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Limit</w:t>
            </w:r>
          </w:p>
        </w:tc>
        <w:tc>
          <w:tcPr>
            <w:tcW w:type="dxa" w:w="6768"/>
            <w:shd w:fill="FFFFFF"/>
            <w:tcMar>
              <w:top w:w="70" w:type="dxa"/>
              <w:bottom w:w="70" w:type="dxa"/>
              <w:left w:w="100" w:type="dxa"/>
              <w:right w:w="100" w:type="dxa"/>
            </w:tcMar>
          </w:tcPr>
          <w:p>
            <w:pPr>
              <w:spacing w:before="40" w:after="40"/>
            </w:pPr>
            <w:r>
              <w:rPr>
                <w:rFonts w:ascii="Arial" w:hAnsi="Arial"/>
                <w:sz w:val="19"/>
              </w:rPr>
              <w:t>N/A</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Severity</w:t>
            </w:r>
          </w:p>
        </w:tc>
        <w:tc>
          <w:tcPr>
            <w:tcW w:type="dxa" w:w="6768"/>
            <w:shd w:fill="FFFFFF"/>
            <w:tcMar>
              <w:top w:w="70" w:type="dxa"/>
              <w:bottom w:w="70" w:type="dxa"/>
              <w:left w:w="100" w:type="dxa"/>
              <w:right w:w="100" w:type="dxa"/>
            </w:tcMar>
          </w:tcPr>
          <w:p>
            <w:pPr>
              <w:spacing w:before="40" w:after="40"/>
            </w:pPr>
            <w:r>
              <w:rPr>
                <w:rFonts w:ascii="Arial" w:hAnsi="Arial"/>
                <w:sz w:val="19"/>
              </w:rPr>
              <w:t>N/A</w:t>
            </w:r>
          </w:p>
        </w:tc>
      </w:tr>
      <w:tr>
        <w:tc>
          <w:tcPr>
            <w:tcW w:type="dxa" w:w="2592"/>
            <w:shd w:fill="EDF2F7"/>
            <w:tcMar>
              <w:top w:w="70" w:type="dxa"/>
              <w:bottom w:w="70" w:type="dxa"/>
              <w:left w:w="100" w:type="dxa"/>
              <w:right w:w="100" w:type="dxa"/>
            </w:tcMar>
          </w:tcPr>
          <w:p>
            <w:pPr>
              <w:spacing w:before="40" w:after="40"/>
            </w:pPr>
            <w:r>
              <w:rPr>
                <w:rFonts w:ascii="Arial" w:hAnsi="Arial"/>
                <w:b/>
                <w:color w:val="2D3748"/>
                <w:sz w:val="19"/>
              </w:rPr>
              <w:t>Evidence</w:t>
            </w:r>
          </w:p>
        </w:tc>
        <w:tc>
          <w:tcPr>
            <w:tcW w:type="dxa" w:w="6768"/>
            <w:shd w:fill="FFFFFF"/>
            <w:tcMar>
              <w:top w:w="70" w:type="dxa"/>
              <w:bottom w:w="70" w:type="dxa"/>
              <w:left w:w="100" w:type="dxa"/>
              <w:right w:w="100" w:type="dxa"/>
            </w:tcMar>
          </w:tcPr>
          <w:p>
            <w:pPr>
              <w:spacing w:before="40" w:after="40"/>
            </w:pPr>
            <w:r>
              <w:rPr>
                <w:rFonts w:ascii="Arial" w:hAnsi="Arial"/>
                <w:sz w:val="19"/>
              </w:rPr>
              <w:t>The equipment was kept out of normal service pending inspection and corrective action.</w:t>
            </w:r>
          </w:p>
        </w:tc>
      </w:tr>
    </w:tbl>
    <w:p>
      <w:pPr>
        <w:spacing w:before="0" w:after="120"/>
      </w:pPr>
    </w:p>
    <w:p>
      <w:pPr>
        <w:keepNext/>
        <w:spacing w:before="240" w:after="120"/>
      </w:pPr>
      <w:r>
        <w:rPr>
          <w:rFonts w:ascii="Arial" w:hAnsi="Arial"/>
          <w:b/>
          <w:color w:val="1A365D"/>
          <w:sz w:val="26"/>
        </w:rPr>
        <w:t>4. Technical Analysis</w:t>
      </w:r>
    </w:p>
    <w:p>
      <w:pPr>
        <w:spacing w:after="160"/>
      </w:pPr>
      <w:r>
        <w:rPr>
          <w:rFonts w:ascii="Arial" w:hAnsi="Arial"/>
          <w:sz w:val="20"/>
        </w:rPr>
        <w:t>Evaluation was performed by correlating observed parameters against standard operating procedures (Demo_Maintenance_SOP.pdf). Assessment analysis indicates: Bearing temperature exceeded the normal operating limit, which could lead to premature bearing failure, resulting in equipment downtime and potential safety hazards.</w:t>
      </w:r>
    </w:p>
    <w:p>
      <w:pPr>
        <w:keepNext/>
        <w:spacing w:before="240" w:after="120"/>
      </w:pPr>
      <w:r>
        <w:rPr>
          <w:rFonts w:ascii="Arial" w:hAnsi="Arial"/>
          <w:b/>
          <w:color w:val="1A365D"/>
          <w:sz w:val="26"/>
        </w:rPr>
        <w:t>5. Risk Assessment</w:t>
      </w:r>
    </w:p>
    <w:tbl>
      <w:tblPr>
        <w:tblW w:type="auto" w:w="0"/>
        <w:jc w:val="center"/>
        <w:tblLayout w:type="fixed"/>
        <w:tblLook w:firstColumn="1" w:firstRow="1" w:lastColumn="0" w:lastRow="0" w:noHBand="0" w:noVBand="1" w:val="04A0"/>
      </w:tblPr>
      <w:tblGrid>
        <w:gridCol w:w="4680"/>
        <w:gridCol w:w="4680"/>
      </w:tblGrid>
      <w:tr>
        <w:tc>
          <w:tcPr>
            <w:tcW w:type="dxa" w:w="2592"/>
            <w:shd w:fill="EDF2F7"/>
            <w:tcMar>
              <w:top w:w="80" w:type="dxa"/>
              <w:bottom w:w="80" w:type="dxa"/>
              <w:left w:w="100" w:type="dxa"/>
              <w:right w:w="100" w:type="dxa"/>
            </w:tcMar>
          </w:tcPr>
          <w:p>
            <w:r>
              <w:rPr>
                <w:rFonts w:ascii="Arial" w:hAnsi="Arial"/>
                <w:b/>
                <w:sz w:val="20"/>
              </w:rPr>
              <w:t>Risk Level</w:t>
            </w:r>
          </w:p>
        </w:tc>
        <w:tc>
          <w:tcPr>
            <w:tcW w:type="dxa" w:w="6768"/>
            <w:shd w:fill="FED7D7"/>
            <w:tcMar>
              <w:top w:w="80" w:type="dxa"/>
              <w:bottom w:w="80" w:type="dxa"/>
              <w:left w:w="100" w:type="dxa"/>
              <w:right w:w="100" w:type="dxa"/>
            </w:tcMar>
          </w:tcPr>
          <w:p>
            <w:r>
              <w:rPr>
                <w:rFonts w:ascii="Arial" w:hAnsi="Arial"/>
                <w:b/>
                <w:color w:val="C53030"/>
                <w:sz w:val="22"/>
              </w:rPr>
              <w:t>HIGH</w:t>
            </w:r>
          </w:p>
        </w:tc>
      </w:tr>
      <w:tr>
        <w:tc>
          <w:tcPr>
            <w:tcW w:type="dxa" w:w="2592"/>
            <w:shd w:fill="EDF2F7"/>
            <w:tcMar>
              <w:top w:w="80" w:type="dxa"/>
              <w:bottom w:w="80" w:type="dxa"/>
              <w:left w:w="100" w:type="dxa"/>
              <w:right w:w="100" w:type="dxa"/>
            </w:tcMar>
          </w:tcPr>
          <w:p>
            <w:r>
              <w:rPr>
                <w:rFonts w:ascii="Arial" w:hAnsi="Arial"/>
                <w:b/>
                <w:sz w:val="20"/>
              </w:rPr>
              <w:t>Reason</w:t>
            </w:r>
          </w:p>
        </w:tc>
        <w:tc>
          <w:tcPr>
            <w:tcW w:type="dxa" w:w="6768"/>
            <w:shd w:fill="FFFFFF"/>
            <w:tcMar>
              <w:top w:w="80" w:type="dxa"/>
              <w:bottom w:w="80" w:type="dxa"/>
              <w:left w:w="100" w:type="dxa"/>
              <w:right w:w="100" w:type="dxa"/>
            </w:tcMar>
          </w:tcPr>
          <w:p>
            <w:r>
              <w:rPr>
                <w:rFonts w:ascii="Arial" w:hAnsi="Arial"/>
                <w:sz w:val="19"/>
              </w:rPr>
              <w:t>Bearing temperature exceeded the normal operating limit, which could lead to premature bearing failure, resulting in equipment downtime and potential safety hazards.</w:t>
            </w:r>
          </w:p>
        </w:tc>
      </w:tr>
    </w:tbl>
    <w:p>
      <w:pPr>
        <w:spacing w:after="120"/>
      </w:pPr>
    </w:p>
    <w:p>
      <w:pPr>
        <w:keepNext/>
        <w:spacing w:before="240" w:after="120"/>
      </w:pPr>
      <w:r>
        <w:rPr>
          <w:rFonts w:ascii="Arial" w:hAnsi="Arial"/>
          <w:b/>
          <w:color w:val="1A365D"/>
          <w:sz w:val="26"/>
        </w:rPr>
        <w:t>6. Recommendation</w:t>
      </w:r>
    </w:p>
    <w:tbl>
      <w:tblPr>
        <w:tblW w:type="auto" w:w="0"/>
        <w:jc w:val="center"/>
        <w:tblLook w:firstColumn="1" w:firstRow="1" w:lastColumn="0" w:lastRow="0" w:noHBand="0" w:noVBand="1" w:val="04A0"/>
      </w:tblPr>
      <w:tblGrid>
        <w:gridCol w:w="9360"/>
      </w:tblGrid>
      <w:tr>
        <w:tc>
          <w:tcPr>
            <w:tcW w:type="dxa" w:w="9360"/>
            <w:shd w:fill="EBF8FF"/>
            <w:tcMar>
              <w:top w:w="100" w:type="dxa"/>
              <w:bottom w:w="100" w:type="dxa"/>
              <w:left w:w="120" w:type="dxa"/>
              <w:right w:w="120" w:type="dxa"/>
            </w:tcMar>
          </w:tcPr>
          <w:p>
            <w:pPr>
              <w:spacing w:before="80" w:after="80"/>
            </w:pPr>
            <w:r>
              <w:rPr>
                <w:rFonts w:ascii="Arial" w:hAnsi="Arial"/>
                <w:b/>
                <w:color w:val="2B6CB0"/>
                <w:sz w:val="20"/>
              </w:rPr>
              <w:t>Immediate inspection and repair of the bearing assembly is required. Check lubrication condition and look for signs of abnormal vibration. Do not return the equipment to service until the inspection is complete. Insufficient SOP evidence is available to provide a validated recommendation. Insufficient SOP evidence is available to provide a validated recommendation. Insufficient SOP evidence is available to provide a validated recommendation. Insufficient SOP evidence is available to provide a validated recommendation.</w:t>
            </w:r>
          </w:p>
        </w:tc>
      </w:tr>
    </w:tbl>
    <w:p>
      <w:pPr>
        <w:spacing w:after="120"/>
      </w:pPr>
    </w:p>
    <w:p>
      <w:pPr>
        <w:keepNext/>
        <w:spacing w:before="240" w:after="120"/>
      </w:pPr>
      <w:r>
        <w:rPr>
          <w:rFonts w:ascii="Arial" w:hAnsi="Arial"/>
          <w:b/>
          <w:color w:val="1A365D"/>
          <w:sz w:val="26"/>
        </w:rPr>
        <w:t>7. References</w:t>
      </w:r>
    </w:p>
    <w:p>
      <w:pPr>
        <w:spacing w:after="80"/>
        <w:ind w:left="360"/>
      </w:pPr>
      <w:r>
        <w:rPr>
          <w:rFonts w:ascii="Arial" w:hAnsi="Arial"/>
          <w:b/>
          <w:sz w:val="19"/>
        </w:rPr>
        <w:t xml:space="preserve">[1] </w:t>
      </w:r>
      <w:r>
        <w:rPr>
          <w:rFonts w:ascii="Arial" w:hAnsi="Arial"/>
          <w:sz w:val="19"/>
        </w:rPr>
        <w:t>Filename: Demo_Maintenance_SOP.pdf | Page: 1 | Chunk Index: 0 | Document ID: c2fd4c4f-8d4e-406e-9bb2-7b3c6e94d9b5</w:t>
      </w:r>
    </w:p>
    <w:p>
      <w:pPr>
        <w:spacing w:after="120"/>
      </w:pPr>
    </w:p>
    <w:p>
      <w:pPr>
        <w:keepNext/>
        <w:spacing w:before="240" w:after="120"/>
      </w:pPr>
      <w:r>
        <w:rPr>
          <w:rFonts w:ascii="Arial" w:hAnsi="Arial"/>
          <w:b/>
          <w:color w:val="1A365D"/>
          <w:sz w:val="26"/>
        </w:rPr>
        <w:t>8. Approval</w:t>
      </w:r>
    </w:p>
    <w:tbl>
      <w:tblPr>
        <w:tblW w:type="auto" w:w="0"/>
        <w:jc w:val="center"/>
        <w:tblLayout w:type="fixed"/>
        <w:tblLook w:firstColumn="1" w:firstRow="1" w:lastColumn="0" w:lastRow="0" w:noHBand="0" w:noVBand="1" w:val="04A0"/>
      </w:tblPr>
      <w:tblGrid>
        <w:gridCol w:w="4680"/>
        <w:gridCol w:w="4680"/>
      </w:tblGrid>
      <w:tr>
        <w:tc>
          <w:tcPr>
            <w:tcW w:type="dxa" w:w="2880"/>
            <w:shd w:fill="F7FAFC"/>
            <w:tcMar>
              <w:top w:w="60" w:type="dxa"/>
              <w:bottom w:w="60" w:type="dxa"/>
              <w:left w:w="80" w:type="dxa"/>
              <w:right w:w="80" w:type="dxa"/>
            </w:tcMar>
          </w:tcPr>
          <w:p>
            <w:pPr>
              <w:spacing w:before="40" w:after="40"/>
            </w:pPr>
            <w:r>
              <w:rPr>
                <w:rFonts w:ascii="Arial" w:hAnsi="Arial"/>
                <w:b/>
                <w:color w:val="4A5568"/>
                <w:sz w:val="19"/>
              </w:rPr>
              <w:t>Prepared By:</w:t>
            </w:r>
          </w:p>
        </w:tc>
        <w:tc>
          <w:tcPr>
            <w:tcW w:type="dxa" w:w="6480"/>
            <w:shd w:fill="FFFFFF"/>
            <w:tcMar>
              <w:top w:w="60" w:type="dxa"/>
              <w:bottom w:w="60" w:type="dxa"/>
              <w:left w:w="80" w:type="dxa"/>
              <w:right w:w="80" w:type="dxa"/>
            </w:tcMar>
          </w:tcPr>
          <w:p>
            <w:pPr>
              <w:spacing w:before="40" w:after="40"/>
            </w:pPr>
            <w:r>
              <w:rPr>
                <w:rFonts w:ascii="Arial" w:hAnsi="Arial"/>
                <w:sz w:val="19"/>
              </w:rPr>
              <w:t>SovereignAI</w:t>
            </w:r>
          </w:p>
        </w:tc>
      </w:tr>
      <w:tr>
        <w:tc>
          <w:tcPr>
            <w:tcW w:type="dxa" w:w="2880"/>
            <w:shd w:fill="F7FAFC"/>
            <w:tcMar>
              <w:top w:w="60" w:type="dxa"/>
              <w:bottom w:w="60" w:type="dxa"/>
              <w:left w:w="80" w:type="dxa"/>
              <w:right w:w="80" w:type="dxa"/>
            </w:tcMar>
          </w:tcPr>
          <w:p>
            <w:pPr>
              <w:spacing w:before="40" w:after="40"/>
            </w:pPr>
            <w:r>
              <w:rPr>
                <w:rFonts w:ascii="Arial" w:hAnsi="Arial"/>
                <w:b/>
                <w:color w:val="4A5568"/>
                <w:sz w:val="19"/>
              </w:rPr>
              <w:t>Reviewed By:</w:t>
            </w:r>
          </w:p>
        </w:tc>
        <w:tc>
          <w:tcPr>
            <w:tcW w:type="dxa" w:w="6480"/>
            <w:shd w:fill="FFFFFF"/>
            <w:tcMar>
              <w:top w:w="60" w:type="dxa"/>
              <w:bottom w:w="60" w:type="dxa"/>
              <w:left w:w="80" w:type="dxa"/>
              <w:right w:w="80" w:type="dxa"/>
            </w:tcMar>
          </w:tcPr>
          <w:p>
            <w:pPr>
              <w:spacing w:before="40" w:after="40"/>
            </w:pPr>
            <w:r>
              <w:rPr>
                <w:rFonts w:ascii="Arial" w:hAnsi="Arial"/>
                <w:sz w:val="19"/>
              </w:rPr>
              <w:t>____________________________________</w:t>
            </w:r>
          </w:p>
        </w:tc>
      </w:tr>
      <w:tr>
        <w:tc>
          <w:tcPr>
            <w:tcW w:type="dxa" w:w="2880"/>
            <w:shd w:fill="F7FAFC"/>
            <w:tcMar>
              <w:top w:w="60" w:type="dxa"/>
              <w:bottom w:w="60" w:type="dxa"/>
              <w:left w:w="80" w:type="dxa"/>
              <w:right w:w="80" w:type="dxa"/>
            </w:tcMar>
          </w:tcPr>
          <w:p>
            <w:pPr>
              <w:spacing w:before="40" w:after="40"/>
            </w:pPr>
            <w:r>
              <w:rPr>
                <w:rFonts w:ascii="Arial" w:hAnsi="Arial"/>
                <w:b/>
                <w:color w:val="4A5568"/>
                <w:sz w:val="19"/>
              </w:rPr>
              <w:t>Approved By:</w:t>
            </w:r>
          </w:p>
        </w:tc>
        <w:tc>
          <w:tcPr>
            <w:tcW w:type="dxa" w:w="6480"/>
            <w:shd w:fill="FFFFFF"/>
            <w:tcMar>
              <w:top w:w="60" w:type="dxa"/>
              <w:bottom w:w="60" w:type="dxa"/>
              <w:left w:w="80" w:type="dxa"/>
              <w:right w:w="80" w:type="dxa"/>
            </w:tcMar>
          </w:tcPr>
          <w:p>
            <w:pPr>
              <w:spacing w:before="40" w:after="40"/>
            </w:pPr>
            <w:r>
              <w:rPr>
                <w:rFonts w:ascii="Arial" w:hAnsi="Arial"/>
                <w:sz w:val="19"/>
              </w:rPr>
              <w:t>____________________________________</w:t>
            </w:r>
          </w:p>
        </w:tc>
      </w:tr>
      <w:tr>
        <w:tc>
          <w:tcPr>
            <w:tcW w:type="dxa" w:w="2880"/>
            <w:shd w:fill="F7FAFC"/>
            <w:tcMar>
              <w:top w:w="60" w:type="dxa"/>
              <w:bottom w:w="60" w:type="dxa"/>
              <w:left w:w="80" w:type="dxa"/>
              <w:right w:w="80" w:type="dxa"/>
            </w:tcMar>
          </w:tcPr>
          <w:p>
            <w:pPr>
              <w:spacing w:before="40" w:after="40"/>
            </w:pPr>
            <w:r>
              <w:rPr>
                <w:rFonts w:ascii="Arial" w:hAnsi="Arial"/>
                <w:b/>
                <w:color w:val="4A5568"/>
                <w:sz w:val="19"/>
              </w:rPr>
              <w:t>Date:</w:t>
            </w:r>
          </w:p>
        </w:tc>
        <w:tc>
          <w:tcPr>
            <w:tcW w:type="dxa" w:w="6480"/>
            <w:shd w:fill="FFFFFF"/>
            <w:tcMar>
              <w:top w:w="60" w:type="dxa"/>
              <w:bottom w:w="60" w:type="dxa"/>
              <w:left w:w="80" w:type="dxa"/>
              <w:right w:w="80" w:type="dxa"/>
            </w:tcMar>
          </w:tcPr>
          <w:p>
            <w:pPr>
              <w:spacing w:before="40" w:after="40"/>
            </w:pPr>
            <w:r>
              <w:rPr>
                <w:rFonts w:ascii="Arial" w:hAnsi="Arial"/>
                <w:sz w:val="19"/>
              </w:rPr>
              <w:t>____________________________________</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08080"/>
        <w:sz w:val="17"/>
      </w:rPr>
      <w:t>CONFIDENTIAL — For Authorized Operational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08080"/>
        <w:sz w:val="17"/>
      </w:rPr>
      <w:t>SovereignAI — Industrial Inspection &amp; Approval Note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