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Arial" w:hAnsi="Arial"/>
          <w:b/>
          <w:color w:val="1A365D"/>
          <w:sz w:val="40"/>
        </w:rPr>
        <w:t>APPROVAL NOTE</w:t>
      </w:r>
    </w:p>
    <w:p>
      <w:pPr>
        <w:spacing w:before="0" w:after="320"/>
        <w:jc w:val="center"/>
      </w:pPr>
      <w:r>
        <w:rPr>
          <w:rFonts w:ascii="Arial" w:hAnsi="Arial"/>
          <w:i/>
          <w:color w:val="64748B"/>
          <w:sz w:val="20"/>
        </w:rPr>
        <w:t>Automated Operational Assessment &amp; Executive Review</w:t>
      </w:r>
    </w:p>
    <w:p>
      <w:pPr>
        <w:keepNext/>
        <w:spacing w:before="200" w:after="120"/>
      </w:pPr>
      <w:r>
        <w:rPr>
          <w:rFonts w:ascii="Arial" w:hAnsi="Arial"/>
          <w:b/>
          <w:color w:val="1A365D"/>
          <w:sz w:val="26"/>
        </w:rPr>
        <w:t>1. Subject</w:t>
      </w:r>
    </w:p>
    <w:p>
      <w:pPr>
        <w:spacing w:after="160"/>
      </w:pPr>
      <w:r>
        <w:rPr>
          <w:rFonts w:ascii="Arial" w:hAnsi="Arial"/>
          <w:sz w:val="21"/>
        </w:rPr>
        <w:t>Inspection Report Analysis and Approval Recommendation — 127a43a0-a49f-434e-8deb-2fb106d1f599</w:t>
      </w:r>
    </w:p>
    <w:p>
      <w:pPr>
        <w:keepNext/>
        <w:spacing w:before="240" w:after="120"/>
      </w:pPr>
      <w:r>
        <w:rPr>
          <w:rFonts w:ascii="Arial" w:hAnsi="Arial"/>
          <w:b/>
          <w:color w:val="1A365D"/>
          <w:sz w:val="26"/>
        </w:rPr>
        <w:t>2. Background</w:t>
      </w:r>
    </w:p>
    <w:p>
      <w:pPr>
        <w:spacing w:after="160"/>
      </w:pPr>
      <w:r>
        <w:rPr>
          <w:rFonts w:ascii="Arial" w:hAnsi="Arial"/>
          <w:sz w:val="20"/>
        </w:rPr>
        <w:t>An industrial inspection identified 2 finding(s) on P-101. Operational parameters were recorded during standard inspection routines and evaluated against documented standard operating procedures (SOPs) to produce this assessment.</w:t>
      </w:r>
    </w:p>
    <w:p>
      <w:pPr>
        <w:keepNext/>
        <w:spacing w:before="240" w:after="120"/>
      </w:pPr>
      <w:r>
        <w:rPr>
          <w:rFonts w:ascii="Arial" w:hAnsi="Arial"/>
          <w:b/>
          <w:color w:val="1A365D"/>
          <w:sz w:val="26"/>
        </w:rPr>
        <w:t>3. Inspection Findings</w:t>
      </w:r>
    </w:p>
    <w:p>
      <w:pPr>
        <w:keepNext/>
        <w:spacing w:before="120" w:after="80"/>
      </w:pPr>
      <w:r>
        <w:rPr>
          <w:rFonts w:ascii="Arial" w:hAnsi="Arial"/>
          <w:b/>
          <w:color w:val="2D3748"/>
          <w:sz w:val="22"/>
        </w:rPr>
        <w:t>Finding 1</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bearing temperature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92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observed bearing temperature was 92 °C. The applicable synthetic maintenance SOP states that normal bearing operating temperature is up to 80 °C. The reading therefore exceeds the documented limit by 12 °C.</w:t>
            </w:r>
          </w:p>
        </w:tc>
      </w:tr>
    </w:tbl>
    <w:p>
      <w:pPr>
        <w:spacing w:before="0" w:after="120"/>
      </w:pPr>
    </w:p>
    <w:p>
      <w:pPr>
        <w:keepNext/>
        <w:spacing w:before="120" w:after="80"/>
      </w:pPr>
      <w:r>
        <w:rPr>
          <w:rFonts w:ascii="Arial" w:hAnsi="Arial"/>
          <w:b/>
          <w:color w:val="2D3748"/>
          <w:sz w:val="22"/>
        </w:rPr>
        <w:t>Finding 2</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Vibration at the pump bearing housing was measured at 6.8 mm/s RMS, compared with the synthetic inspection criterion of 4.5 mm/s RMS.</w:t>
            </w:r>
          </w:p>
        </w:tc>
      </w:tr>
    </w:tbl>
    <w:p>
      <w:pPr>
        <w:spacing w:before="0" w:after="120"/>
      </w:pPr>
    </w:p>
    <w:p>
      <w:pPr>
        <w:keepNext/>
        <w:spacing w:before="240" w:after="120"/>
      </w:pPr>
      <w:r>
        <w:rPr>
          <w:rFonts w:ascii="Arial" w:hAnsi="Arial"/>
          <w:b/>
          <w:color w:val="1A365D"/>
          <w:sz w:val="26"/>
        </w:rPr>
        <w:t>4. Technical Analysis</w:t>
      </w:r>
    </w:p>
    <w:p>
      <w:pPr>
        <w:spacing w:after="160"/>
      </w:pPr>
      <w:r>
        <w:rPr>
          <w:rFonts w:ascii="Arial" w:hAnsi="Arial"/>
          <w:sz w:val="20"/>
        </w:rPr>
        <w:t>Evaluation was performed by correlating observed parameters against standard operating procedures (Demo_Maintenance_SOP.pdf). Assessment analysis indicates: The observed bearing temperature exceeds the documented limit by 12 °C, indicating a potential failure condition.</w:t>
      </w:r>
    </w:p>
    <w:p>
      <w:pPr>
        <w:keepNext/>
        <w:spacing w:before="240" w:after="120"/>
      </w:pPr>
      <w:r>
        <w:rPr>
          <w:rFonts w:ascii="Arial" w:hAnsi="Arial"/>
          <w:b/>
          <w:color w:val="1A365D"/>
          <w:sz w:val="26"/>
        </w:rPr>
        <w:t>5. Risk Assessment</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r>
              <w:rPr>
                <w:rFonts w:ascii="Arial" w:hAnsi="Arial"/>
                <w:b/>
                <w:sz w:val="20"/>
              </w:rPr>
              <w:t>Risk Level</w:t>
            </w:r>
          </w:p>
        </w:tc>
        <w:tc>
          <w:tcPr>
            <w:tcW w:type="dxa" w:w="6768"/>
            <w:shd w:fill="FED7D7"/>
            <w:tcMar>
              <w:top w:w="80" w:type="dxa"/>
              <w:bottom w:w="80" w:type="dxa"/>
              <w:left w:w="100" w:type="dxa"/>
              <w:right w:w="100" w:type="dxa"/>
            </w:tcMar>
          </w:tcPr>
          <w:p>
            <w:r>
              <w:rPr>
                <w:rFonts w:ascii="Arial" w:hAnsi="Arial"/>
                <w:b/>
                <w:color w:val="C53030"/>
                <w:sz w:val="22"/>
              </w:rPr>
              <w:t>HIGH</w:t>
            </w:r>
          </w:p>
        </w:tc>
      </w:tr>
      <w:tr>
        <w:tc>
          <w:tcPr>
            <w:tcW w:type="dxa" w:w="2592"/>
            <w:shd w:fill="EDF2F7"/>
            <w:tcMar>
              <w:top w:w="80" w:type="dxa"/>
              <w:bottom w:w="80" w:type="dxa"/>
              <w:left w:w="100" w:type="dxa"/>
              <w:right w:w="100" w:type="dxa"/>
            </w:tcMar>
          </w:tcPr>
          <w:p>
            <w:r>
              <w:rPr>
                <w:rFonts w:ascii="Arial" w:hAnsi="Arial"/>
                <w:b/>
                <w:sz w:val="20"/>
              </w:rPr>
              <w:t>Reason</w:t>
            </w:r>
          </w:p>
        </w:tc>
        <w:tc>
          <w:tcPr>
            <w:tcW w:type="dxa" w:w="6768"/>
            <w:shd w:fill="FFFFFF"/>
            <w:tcMar>
              <w:top w:w="80" w:type="dxa"/>
              <w:bottom w:w="80" w:type="dxa"/>
              <w:left w:w="100" w:type="dxa"/>
              <w:right w:w="100" w:type="dxa"/>
            </w:tcMar>
          </w:tcPr>
          <w:p>
            <w:r>
              <w:rPr>
                <w:rFonts w:ascii="Arial" w:hAnsi="Arial"/>
                <w:sz w:val="19"/>
              </w:rPr>
              <w:t>The observed bearing temperature exceeds the documented limit by 12 °C, indicating a potential failure condition.</w:t>
            </w:r>
          </w:p>
        </w:tc>
      </w:tr>
    </w:tbl>
    <w:p>
      <w:pPr>
        <w:spacing w:after="120"/>
      </w:pPr>
    </w:p>
    <w:p>
      <w:pPr>
        <w:keepNext/>
        <w:spacing w:before="240" w:after="120"/>
      </w:pPr>
      <w:r>
        <w:rPr>
          <w:rFonts w:ascii="Arial" w:hAnsi="Arial"/>
          <w:b/>
          <w:color w:val="1A365D"/>
          <w:sz w:val="26"/>
        </w:rPr>
        <w:t>6. Recommendation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20" w:type="dxa"/>
              <w:right w:w="120" w:type="dxa"/>
            </w:tcMar>
          </w:tcPr>
          <w:p>
            <w:pPr>
              <w:spacing w:before="80" w:after="80"/>
            </w:pPr>
            <w:r>
              <w:rPr>
                <w:rFonts w:ascii="Arial" w:hAnsi="Arial"/>
                <w:b/>
                <w:color w:val="2B6CB0"/>
                <w:sz w:val="20"/>
              </w:rPr>
              <w:t>Record the observed temperature and inspect the bearing assembly, check lubrication condition, and check for abnormal vibration. Do not return equipment to service until inspection is complete. Perform immediate inspection of the pump bearing housing and conduct further investigation to determine the cause of abnormal vibration. Check lubrication condition and consider replacing the bearing assembly if necessary. Follow the Demo Maintenance SOP for corrective action.</w:t>
            </w:r>
          </w:p>
        </w:tc>
      </w:tr>
    </w:tbl>
    <w:p>
      <w:pPr>
        <w:spacing w:after="120"/>
      </w:pPr>
    </w:p>
    <w:p>
      <w:pPr>
        <w:keepNext/>
        <w:spacing w:before="240" w:after="120"/>
      </w:pPr>
      <w:r>
        <w:rPr>
          <w:rFonts w:ascii="Arial" w:hAnsi="Arial"/>
          <w:b/>
          <w:color w:val="1A365D"/>
          <w:sz w:val="26"/>
        </w:rPr>
        <w:t>7. References</w:t>
      </w:r>
    </w:p>
    <w:p>
      <w:pPr>
        <w:spacing w:after="80"/>
        <w:ind w:left="360"/>
      </w:pPr>
      <w:r>
        <w:rPr>
          <w:rFonts w:ascii="Arial" w:hAnsi="Arial"/>
          <w:b/>
          <w:sz w:val="19"/>
        </w:rPr>
        <w:t xml:space="preserve">[1] </w:t>
      </w:r>
      <w:r>
        <w:rPr>
          <w:rFonts w:ascii="Arial" w:hAnsi="Arial"/>
          <w:sz w:val="19"/>
        </w:rPr>
        <w:t>Filename: Demo_Maintenance_SOP.pdf | Page: 1 | Chunk Index: 0 | Document ID: 31bc6f43-a5fb-47b7-9bee-5bc9deb0a2b1</w:t>
      </w:r>
    </w:p>
    <w:p>
      <w:pPr>
        <w:spacing w:after="120"/>
      </w:pPr>
    </w:p>
    <w:p>
      <w:pPr>
        <w:keepNext/>
        <w:spacing w:before="240" w:after="120"/>
      </w:pPr>
      <w:r>
        <w:rPr>
          <w:rFonts w:ascii="Arial" w:hAnsi="Arial"/>
          <w:b/>
          <w:color w:val="1A365D"/>
          <w:sz w:val="26"/>
        </w:rPr>
        <w:t>8. Approval</w:t>
      </w:r>
    </w:p>
    <w:tbl>
      <w:tblPr>
        <w:tblW w:type="auto" w:w="0"/>
        <w:jc w:val="center"/>
        <w:tblLayout w:type="fixed"/>
        <w:tblLook w:firstColumn="1" w:firstRow="1" w:lastColumn="0" w:lastRow="0" w:noHBand="0" w:noVBand="1" w:val="04A0"/>
      </w:tblPr>
      <w:tblGrid>
        <w:gridCol w:w="4680"/>
        <w:gridCol w:w="4680"/>
      </w:tblGrid>
      <w:tr>
        <w:tc>
          <w:tcPr>
            <w:tcW w:type="dxa" w:w="2880"/>
            <w:shd w:fill="F7FAFC"/>
            <w:tcMar>
              <w:top w:w="60" w:type="dxa"/>
              <w:bottom w:w="60" w:type="dxa"/>
              <w:left w:w="80" w:type="dxa"/>
              <w:right w:w="80" w:type="dxa"/>
            </w:tcMar>
          </w:tcPr>
          <w:p>
            <w:pPr>
              <w:spacing w:before="40" w:after="40"/>
            </w:pPr>
            <w:r>
              <w:rPr>
                <w:rFonts w:ascii="Arial" w:hAnsi="Arial"/>
                <w:b/>
                <w:color w:val="4A5568"/>
                <w:sz w:val="19"/>
              </w:rPr>
              <w:t>Prepared By:</w:t>
            </w:r>
          </w:p>
        </w:tc>
        <w:tc>
          <w:tcPr>
            <w:tcW w:type="dxa" w:w="6480"/>
            <w:shd w:fill="FFFFFF"/>
            <w:tcMar>
              <w:top w:w="60" w:type="dxa"/>
              <w:bottom w:w="60" w:type="dxa"/>
              <w:left w:w="80" w:type="dxa"/>
              <w:right w:w="80" w:type="dxa"/>
            </w:tcMar>
          </w:tcPr>
          <w:p>
            <w:pPr>
              <w:spacing w:before="40" w:after="40"/>
            </w:pPr>
            <w:r>
              <w:rPr>
                <w:rFonts w:ascii="Arial" w:hAnsi="Arial"/>
                <w:sz w:val="19"/>
              </w:rPr>
              <w:t>SovereignAI</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Reviewed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Approved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Date:</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 For Authorized Operational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SovereignAI — Industrial Inspection &amp; Approval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