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jc w:val="center"/>
      </w:pPr>
      <w:r>
        <w:rPr>
          <w:rFonts w:ascii="Arial" w:hAnsi="Arial"/>
          <w:b/>
          <w:color w:val="1A365D"/>
          <w:sz w:val="40"/>
        </w:rPr>
        <w:t>APPROVAL NOTE</w:t>
      </w:r>
    </w:p>
    <w:p>
      <w:pPr>
        <w:spacing w:before="0" w:after="320"/>
        <w:jc w:val="center"/>
      </w:pPr>
      <w:r>
        <w:rPr>
          <w:rFonts w:ascii="Arial" w:hAnsi="Arial"/>
          <w:i/>
          <w:color w:val="64748B"/>
          <w:sz w:val="20"/>
        </w:rPr>
        <w:t>Automated Operational Assessment &amp; Executive Review</w:t>
      </w:r>
    </w:p>
    <w:p>
      <w:pPr>
        <w:keepNext/>
        <w:spacing w:before="200" w:after="120"/>
      </w:pPr>
      <w:r>
        <w:rPr>
          <w:rFonts w:ascii="Arial" w:hAnsi="Arial"/>
          <w:b/>
          <w:color w:val="1A365D"/>
          <w:sz w:val="26"/>
        </w:rPr>
        <w:t>1. Subject</w:t>
      </w:r>
    </w:p>
    <w:p>
      <w:pPr>
        <w:spacing w:after="160"/>
      </w:pPr>
      <w:r>
        <w:rPr>
          <w:rFonts w:ascii="Arial" w:hAnsi="Arial"/>
          <w:sz w:val="21"/>
        </w:rPr>
        <w:t>Inspection Report Analysis and Approval Recommendation — 127a43a0-a49f-434e-8deb-2fb106d1f599</w:t>
      </w:r>
    </w:p>
    <w:p>
      <w:pPr>
        <w:keepNext/>
        <w:spacing w:before="240" w:after="120"/>
      </w:pPr>
      <w:r>
        <w:rPr>
          <w:rFonts w:ascii="Arial" w:hAnsi="Arial"/>
          <w:b/>
          <w:color w:val="1A365D"/>
          <w:sz w:val="26"/>
        </w:rPr>
        <w:t>2. Background</w:t>
      </w:r>
    </w:p>
    <w:p>
      <w:pPr>
        <w:spacing w:after="160"/>
      </w:pPr>
      <w:r>
        <w:rPr>
          <w:rFonts w:ascii="Arial" w:hAnsi="Arial"/>
          <w:sz w:val="20"/>
        </w:rPr>
        <w:t>An industrial inspection identified 5 finding(s) on P-101. Operational parameters were recorded during standard inspection routines and evaluated against documented standard operating procedures (SOPs) to produce this assessment.</w:t>
      </w:r>
    </w:p>
    <w:p>
      <w:pPr>
        <w:keepNext/>
        <w:spacing w:before="240" w:after="120"/>
      </w:pPr>
      <w:r>
        <w:rPr>
          <w:rFonts w:ascii="Arial" w:hAnsi="Arial"/>
          <w:b/>
          <w:color w:val="1A365D"/>
          <w:sz w:val="26"/>
        </w:rPr>
        <w:t>3. Inspection Findings</w:t>
      </w:r>
    </w:p>
    <w:p>
      <w:pPr>
        <w:keepNext/>
        <w:spacing w:before="120" w:after="80"/>
      </w:pPr>
      <w:r>
        <w:rPr>
          <w:rFonts w:ascii="Arial" w:hAnsi="Arial"/>
          <w:b/>
          <w:color w:val="2D3748"/>
          <w:sz w:val="22"/>
        </w:rPr>
        <w:t>Finding 1</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92 °C exceeds normal limit of 80 °C</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92 °C</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80 °C</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The report does not contain the SOP itself; the agent is expected to retrieve the separate knowledge-base document.  Knowledge-base topic  Expected relationship  Bearing Temperature Monitoring   Observed 92 °C exceeds normal limit of 80 °C.</w:t>
            </w:r>
          </w:p>
        </w:tc>
      </w:tr>
    </w:tbl>
    <w:p>
      <w:pPr>
        <w:spacing w:before="0" w:after="120"/>
      </w:pPr>
    </w:p>
    <w:p>
      <w:pPr>
        <w:keepNext/>
        <w:spacing w:before="120" w:after="80"/>
      </w:pPr>
      <w:r>
        <w:rPr>
          <w:rFonts w:ascii="Arial" w:hAnsi="Arial"/>
          <w:b/>
          <w:color w:val="2D3748"/>
          <w:sz w:val="22"/>
        </w:rPr>
        <w:t>Finding 2</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6.8 mm/s RMS requires recording and rotating-assembly/bearing checks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6.8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4.5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The inspection included review of equipment condition, bearing temperature measurement, vibration measurement, lubrication-condition observation, and visual inspection for leakage and other operational anomalies.</w:t>
            </w:r>
          </w:p>
        </w:tc>
      </w:tr>
    </w:tbl>
    <w:p>
      <w:pPr>
        <w:spacing w:before="0" w:after="120"/>
      </w:pPr>
    </w:p>
    <w:p>
      <w:pPr>
        <w:keepNext/>
        <w:spacing w:before="120" w:after="80"/>
      </w:pPr>
      <w:r>
        <w:rPr>
          <w:rFonts w:ascii="Arial" w:hAnsi="Arial"/>
          <w:b/>
          <w:color w:val="2D3748"/>
          <w:sz w:val="22"/>
        </w:rPr>
        <w:t>Finding 3</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Low / insufficient grease observed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Low / insufficient grease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Adequate lubrication required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2. Inspection Observations  Parameter   Observed   Applicable Normal Limit   Status  Bearing temperature   92 °C   Up to 80 °C   ABNORMAL Vibration   6.8 mm/s RMS   Up to 4.5 mm/s RMS   ABNORMAL Lubrication condition   Low / insufficient grease observed Adequate lubrication required</w:t>
            </w:r>
          </w:p>
        </w:tc>
      </w:tr>
    </w:tbl>
    <w:p>
      <w:pPr>
        <w:spacing w:before="0" w:after="120"/>
      </w:pPr>
    </w:p>
    <w:p>
      <w:pPr>
        <w:keepNext/>
        <w:spacing w:before="120" w:after="80"/>
      </w:pPr>
      <w:r>
        <w:rPr>
          <w:rFonts w:ascii="Arial" w:hAnsi="Arial"/>
          <w:b/>
          <w:color w:val="2D3748"/>
          <w:sz w:val="22"/>
        </w:rPr>
        <w:t>Finding 4</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vibration was recorded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6.8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4.5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Finding F-002 — Abnormal vibration was recorded.  Vibration at the pump bearing housing was measured at 6.8 mm/s RMS, compared with the synthetic inspection criterion of 4.5 mm/s RMS.</w:t>
            </w:r>
          </w:p>
        </w:tc>
      </w:tr>
    </w:tbl>
    <w:p>
      <w:pPr>
        <w:spacing w:before="0" w:after="120"/>
      </w:pPr>
    </w:p>
    <w:p>
      <w:pPr>
        <w:keepNext/>
        <w:spacing w:before="120" w:after="80"/>
      </w:pPr>
      <w:r>
        <w:rPr>
          <w:rFonts w:ascii="Arial" w:hAnsi="Arial"/>
          <w:b/>
          <w:color w:val="2D3748"/>
          <w:sz w:val="22"/>
        </w:rPr>
        <w:t>Finding 5</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The equipment should remain under controlled maintenance review until the bearing condition has been inspected and corrective actions have been completed in accordance with the applicable company procedures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N/A</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N/A</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N/A</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The inspection identified abnormal bearing temperature, elevated vibration, and inadequate lubrication on P-101. The equipment should remain under controlled maintenance review until the bearing condition has been inspected and corrective actions have been completed in accordance with the applicable company procedures.</w:t>
            </w:r>
          </w:p>
        </w:tc>
      </w:tr>
    </w:tbl>
    <w:p>
      <w:pPr>
        <w:spacing w:before="0" w:after="120"/>
      </w:pPr>
    </w:p>
    <w:p>
      <w:pPr>
        <w:keepNext/>
        <w:spacing w:before="240" w:after="120"/>
      </w:pPr>
      <w:r>
        <w:rPr>
          <w:rFonts w:ascii="Arial" w:hAnsi="Arial"/>
          <w:b/>
          <w:color w:val="1A365D"/>
          <w:sz w:val="26"/>
        </w:rPr>
        <w:t>4. Technical Analysis</w:t>
      </w:r>
    </w:p>
    <w:p>
      <w:pPr>
        <w:spacing w:after="160"/>
      </w:pPr>
      <w:r>
        <w:rPr>
          <w:rFonts w:ascii="Arial" w:hAnsi="Arial"/>
          <w:sz w:val="20"/>
        </w:rPr>
        <w:t>Evaluation was performed by correlating observed parameters against standard operating procedures (Demo_Maintenance_SOP.pdf, Demo_Inspection_Guidelines.pdf). Assessment analysis indicates: The observed temperature of 92 °C exceeds the normal limit of 80 °C, and the agent has retrieved the knowledge-base document confirming the expected relationship between bearing temperature monitoring and the observed temperature.</w:t>
      </w:r>
    </w:p>
    <w:p>
      <w:pPr>
        <w:keepNext/>
        <w:spacing w:before="240" w:after="120"/>
      </w:pPr>
      <w:r>
        <w:rPr>
          <w:rFonts w:ascii="Arial" w:hAnsi="Arial"/>
          <w:b/>
          <w:color w:val="1A365D"/>
          <w:sz w:val="26"/>
        </w:rPr>
        <w:t>5. Risk Assessment</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80" w:type="dxa"/>
              <w:bottom w:w="80" w:type="dxa"/>
              <w:left w:w="100" w:type="dxa"/>
              <w:right w:w="100" w:type="dxa"/>
            </w:tcMar>
          </w:tcPr>
          <w:p>
            <w:r>
              <w:rPr>
                <w:rFonts w:ascii="Arial" w:hAnsi="Arial"/>
                <w:b/>
                <w:sz w:val="20"/>
              </w:rPr>
              <w:t>Risk Level</w:t>
            </w:r>
          </w:p>
        </w:tc>
        <w:tc>
          <w:tcPr>
            <w:tcW w:type="dxa" w:w="6768"/>
            <w:shd w:fill="FEEBC8"/>
            <w:tcMar>
              <w:top w:w="80" w:type="dxa"/>
              <w:bottom w:w="80" w:type="dxa"/>
              <w:left w:w="100" w:type="dxa"/>
              <w:right w:w="100" w:type="dxa"/>
            </w:tcMar>
          </w:tcPr>
          <w:p>
            <w:r>
              <w:rPr>
                <w:rFonts w:ascii="Arial" w:hAnsi="Arial"/>
                <w:b/>
                <w:color w:val="B7791F"/>
                <w:sz w:val="22"/>
              </w:rPr>
              <w:t>MEDIUM</w:t>
            </w:r>
          </w:p>
        </w:tc>
      </w:tr>
      <w:tr>
        <w:tc>
          <w:tcPr>
            <w:tcW w:type="dxa" w:w="2592"/>
            <w:shd w:fill="EDF2F7"/>
            <w:tcMar>
              <w:top w:w="80" w:type="dxa"/>
              <w:bottom w:w="80" w:type="dxa"/>
              <w:left w:w="100" w:type="dxa"/>
              <w:right w:w="100" w:type="dxa"/>
            </w:tcMar>
          </w:tcPr>
          <w:p>
            <w:r>
              <w:rPr>
                <w:rFonts w:ascii="Arial" w:hAnsi="Arial"/>
                <w:b/>
                <w:sz w:val="20"/>
              </w:rPr>
              <w:t>Reason</w:t>
            </w:r>
          </w:p>
        </w:tc>
        <w:tc>
          <w:tcPr>
            <w:tcW w:type="dxa" w:w="6768"/>
            <w:shd w:fill="FFFFFF"/>
            <w:tcMar>
              <w:top w:w="80" w:type="dxa"/>
              <w:bottom w:w="80" w:type="dxa"/>
              <w:left w:w="100" w:type="dxa"/>
              <w:right w:w="100" w:type="dxa"/>
            </w:tcMar>
          </w:tcPr>
          <w:p>
            <w:r>
              <w:rPr>
                <w:rFonts w:ascii="Arial" w:hAnsi="Arial"/>
                <w:sz w:val="19"/>
              </w:rPr>
              <w:t>The observed temperature of 92 °C exceeds the normal limit of 80 °C, and the agent has retrieved the knowledge-base document confirming the expected relationship between bearing temperature monitoring and the observed temperature.</w:t>
            </w:r>
          </w:p>
        </w:tc>
      </w:tr>
    </w:tbl>
    <w:p>
      <w:pPr>
        <w:spacing w:after="120"/>
      </w:pPr>
    </w:p>
    <w:p>
      <w:pPr>
        <w:keepNext/>
        <w:spacing w:before="240" w:after="120"/>
      </w:pPr>
      <w:r>
        <w:rPr>
          <w:rFonts w:ascii="Arial" w:hAnsi="Arial"/>
          <w:b/>
          <w:color w:val="1A365D"/>
          <w:sz w:val="26"/>
        </w:rPr>
        <w:t>6. Recommendation</w:t>
      </w:r>
    </w:p>
    <w:tbl>
      <w:tblPr>
        <w:tblW w:type="auto" w:w="0"/>
        <w:jc w:val="center"/>
        <w:tblLook w:firstColumn="1" w:firstRow="1" w:lastColumn="0" w:lastRow="0" w:noHBand="0" w:noVBand="1" w:val="04A0"/>
      </w:tblPr>
      <w:tblGrid>
        <w:gridCol w:w="9360"/>
      </w:tblGrid>
      <w:tr>
        <w:tc>
          <w:tcPr>
            <w:tcW w:type="dxa" w:w="9360"/>
            <w:shd w:fill="EBF8FF"/>
            <w:tcMar>
              <w:top w:w="100" w:type="dxa"/>
              <w:bottom w:w="100" w:type="dxa"/>
              <w:left w:w="120" w:type="dxa"/>
              <w:right w:w="120" w:type="dxa"/>
            </w:tcMar>
          </w:tcPr>
          <w:p>
            <w:pPr>
              <w:spacing w:before="80" w:after="80"/>
            </w:pPr>
            <w:r>
              <w:rPr>
                <w:rFonts w:ascii="Arial" w:hAnsi="Arial"/>
                <w:b/>
                <w:color w:val="2B6CB0"/>
                <w:sz w:val="20"/>
              </w:rPr>
              <w:t>Schedule an inspection to verify the bearing assembly and check the lubrication condition, and do not return the equipment to service until the inspection is complete. Record the observed vibration reading and perform a bearing/rotating assembly check on the P-101 equipment. Schedule a comprehensive inspection and check lubrication condition to ensure adequate lubrication is applied. Conduct a comprehensive inspection of the bearing assembly, check lubrication condition, and check for abnormal vibration. Record the observed temperature and take corrective actions as necessary. Perform a comprehensive inspection of P-101 as per SOP-INSP-001, and initiate corrective actions to address the bearing condition, including recording the observed temperature, inspecting the bearing assembly, checking lubrication condition, and checking for abnormal vibration.</w:t>
            </w:r>
          </w:p>
        </w:tc>
      </w:tr>
    </w:tbl>
    <w:p>
      <w:pPr>
        <w:spacing w:after="120"/>
      </w:pPr>
    </w:p>
    <w:p>
      <w:pPr>
        <w:keepNext/>
        <w:spacing w:before="240" w:after="120"/>
      </w:pPr>
      <w:r>
        <w:rPr>
          <w:rFonts w:ascii="Arial" w:hAnsi="Arial"/>
          <w:b/>
          <w:color w:val="1A365D"/>
          <w:sz w:val="26"/>
        </w:rPr>
        <w:t>7. References</w:t>
      </w:r>
    </w:p>
    <w:p>
      <w:pPr>
        <w:spacing w:after="80"/>
        <w:ind w:left="360"/>
      </w:pPr>
      <w:r>
        <w:rPr>
          <w:rFonts w:ascii="Arial" w:hAnsi="Arial"/>
          <w:b/>
          <w:sz w:val="19"/>
        </w:rPr>
        <w:t xml:space="preserve">[1] </w:t>
      </w:r>
      <w:r>
        <w:rPr>
          <w:rFonts w:ascii="Arial" w:hAnsi="Arial"/>
          <w:sz w:val="19"/>
        </w:rPr>
        <w:t>Filename: Demo_Maintenance_SOP.pdf | Page: 1 | Chunk Index: 0 | Document ID: 4b1c1b6e-ad6b-4169-9f90-944459337c0e</w:t>
      </w:r>
    </w:p>
    <w:p>
      <w:pPr>
        <w:spacing w:after="80"/>
        <w:ind w:left="360"/>
      </w:pPr>
      <w:r>
        <w:rPr>
          <w:rFonts w:ascii="Arial" w:hAnsi="Arial"/>
          <w:b/>
          <w:sz w:val="19"/>
        </w:rPr>
        <w:t xml:space="preserve">[2] </w:t>
      </w:r>
      <w:r>
        <w:rPr>
          <w:rFonts w:ascii="Arial" w:hAnsi="Arial"/>
          <w:sz w:val="19"/>
        </w:rPr>
        <w:t>Filename: Demo_Inspection_Guidelines.pdf | Page: 1 | Chunk Index: 0 | Document ID: 73311980-8338-4833-8e2e-246aa107a1eb</w:t>
      </w:r>
    </w:p>
    <w:p>
      <w:pPr>
        <w:spacing w:after="120"/>
      </w:pPr>
    </w:p>
    <w:p>
      <w:pPr>
        <w:keepNext/>
        <w:spacing w:before="240" w:after="120"/>
      </w:pPr>
      <w:r>
        <w:rPr>
          <w:rFonts w:ascii="Arial" w:hAnsi="Arial"/>
          <w:b/>
          <w:color w:val="1A365D"/>
          <w:sz w:val="26"/>
        </w:rPr>
        <w:t>8. Approval</w:t>
      </w:r>
    </w:p>
    <w:tbl>
      <w:tblPr>
        <w:tblW w:type="auto" w:w="0"/>
        <w:jc w:val="center"/>
        <w:tblLayout w:type="fixed"/>
        <w:tblLook w:firstColumn="1" w:firstRow="1" w:lastColumn="0" w:lastRow="0" w:noHBand="0" w:noVBand="1" w:val="04A0"/>
      </w:tblPr>
      <w:tblGrid>
        <w:gridCol w:w="4680"/>
        <w:gridCol w:w="4680"/>
      </w:tblGrid>
      <w:tr>
        <w:tc>
          <w:tcPr>
            <w:tcW w:type="dxa" w:w="2880"/>
            <w:shd w:fill="F7FAFC"/>
            <w:tcMar>
              <w:top w:w="60" w:type="dxa"/>
              <w:bottom w:w="60" w:type="dxa"/>
              <w:left w:w="80" w:type="dxa"/>
              <w:right w:w="80" w:type="dxa"/>
            </w:tcMar>
          </w:tcPr>
          <w:p>
            <w:pPr>
              <w:spacing w:before="40" w:after="40"/>
            </w:pPr>
            <w:r>
              <w:rPr>
                <w:rFonts w:ascii="Arial" w:hAnsi="Arial"/>
                <w:b/>
                <w:color w:val="4A5568"/>
                <w:sz w:val="19"/>
              </w:rPr>
              <w:t>Prepared By:</w:t>
            </w:r>
          </w:p>
        </w:tc>
        <w:tc>
          <w:tcPr>
            <w:tcW w:type="dxa" w:w="6480"/>
            <w:shd w:fill="FFFFFF"/>
            <w:tcMar>
              <w:top w:w="60" w:type="dxa"/>
              <w:bottom w:w="60" w:type="dxa"/>
              <w:left w:w="80" w:type="dxa"/>
              <w:right w:w="80" w:type="dxa"/>
            </w:tcMar>
          </w:tcPr>
          <w:p>
            <w:pPr>
              <w:spacing w:before="40" w:after="40"/>
            </w:pPr>
            <w:r>
              <w:rPr>
                <w:rFonts w:ascii="Arial" w:hAnsi="Arial"/>
                <w:sz w:val="19"/>
              </w:rPr>
              <w:t>SovereignAI</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Reviewed By:</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Approved By:</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Date:</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08080"/>
        <w:sz w:val="17"/>
      </w:rPr>
      <w:t>CONFIDENTIAL — For Authorized Operational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080"/>
        <w:sz w:val="17"/>
      </w:rPr>
      <w:t>SovereignAI — Industrial Inspection &amp; Approval Note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