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Arial" w:hAnsi="Arial"/>
          <w:b/>
          <w:color w:val="1A365D"/>
          <w:sz w:val="40"/>
        </w:rPr>
        <w:t>APPROVAL NOTE</w:t>
      </w:r>
    </w:p>
    <w:p>
      <w:pPr>
        <w:spacing w:before="0" w:after="320"/>
        <w:jc w:val="center"/>
      </w:pPr>
      <w:r>
        <w:rPr>
          <w:rFonts w:ascii="Arial" w:hAnsi="Arial"/>
          <w:i/>
          <w:color w:val="64748B"/>
          <w:sz w:val="20"/>
        </w:rPr>
        <w:t>Automated Operational Assessment &amp; Executive Review</w:t>
      </w:r>
    </w:p>
    <w:p>
      <w:pPr>
        <w:keepNext/>
        <w:spacing w:before="200" w:after="120"/>
      </w:pPr>
      <w:r>
        <w:rPr>
          <w:rFonts w:ascii="Arial" w:hAnsi="Arial"/>
          <w:b/>
          <w:color w:val="1A365D"/>
          <w:sz w:val="26"/>
        </w:rPr>
        <w:t>1. Subject</w:t>
      </w:r>
    </w:p>
    <w:p>
      <w:pPr>
        <w:spacing w:after="160"/>
      </w:pPr>
      <w:r>
        <w:rPr>
          <w:rFonts w:ascii="Arial" w:hAnsi="Arial"/>
          <w:sz w:val="21"/>
        </w:rPr>
        <w:t>Inspection Report Analysis and Approval Recommendation — 127a43a0-a49f-434e-8deb-2fb106d1f599</w:t>
      </w:r>
    </w:p>
    <w:p>
      <w:pPr>
        <w:keepNext/>
        <w:spacing w:before="240" w:after="120"/>
      </w:pPr>
      <w:r>
        <w:rPr>
          <w:rFonts w:ascii="Arial" w:hAnsi="Arial"/>
          <w:b/>
          <w:color w:val="1A365D"/>
          <w:sz w:val="26"/>
        </w:rPr>
        <w:t>2. Background</w:t>
      </w:r>
    </w:p>
    <w:p>
      <w:pPr>
        <w:spacing w:after="160"/>
      </w:pPr>
      <w:r>
        <w:rPr>
          <w:rFonts w:ascii="Arial" w:hAnsi="Arial"/>
          <w:sz w:val="20"/>
        </w:rPr>
        <w:t>An industrial inspection identified 4 finding(s) on P-101. Operational parameters were recorded during standard inspection routines and evaluated against documented standard operating procedures (SOPs) to produce this assessment.</w:t>
      </w:r>
    </w:p>
    <w:p>
      <w:pPr>
        <w:keepNext/>
        <w:spacing w:before="240" w:after="120"/>
      </w:pPr>
      <w:r>
        <w:rPr>
          <w:rFonts w:ascii="Arial" w:hAnsi="Arial"/>
          <w:b/>
          <w:color w:val="1A365D"/>
          <w:sz w:val="26"/>
        </w:rPr>
        <w:t>3. Inspection Findings</w:t>
      </w:r>
    </w:p>
    <w:p>
      <w:pPr>
        <w:keepNext/>
        <w:spacing w:before="120" w:after="80"/>
      </w:pPr>
      <w:r>
        <w:rPr>
          <w:rFonts w:ascii="Arial" w:hAnsi="Arial"/>
          <w:b/>
          <w:color w:val="2D3748"/>
          <w:sz w:val="22"/>
        </w:rPr>
        <w:t>Finding 1</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Bearing temperature exceeded the normal operating limit.</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92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80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observed bearing temperature was 92 °C. The applicable synthetic maintenance SOP states that normal bearing operating temperature is up to 80 °C. The reading therefore exceeds the documented limit by 12 °C.</w:t>
            </w:r>
          </w:p>
        </w:tc>
      </w:tr>
    </w:tbl>
    <w:p>
      <w:pPr>
        <w:spacing w:before="0" w:after="120"/>
      </w:pPr>
    </w:p>
    <w:p>
      <w:pPr>
        <w:keepNext/>
        <w:spacing w:before="120" w:after="80"/>
      </w:pPr>
      <w:r>
        <w:rPr>
          <w:rFonts w:ascii="Arial" w:hAnsi="Arial"/>
          <w:b/>
          <w:color w:val="2D3748"/>
          <w:sz w:val="22"/>
        </w:rPr>
        <w:t>Finding 2</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Vibration was recorded.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6.8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4.5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Vibration at the pump bearing housing was measured at 6.8 mm/s RMS, compared with the synthetic inspection criterion of 4.5 mm/s RMS.</w:t>
            </w:r>
          </w:p>
        </w:tc>
      </w:tr>
    </w:tbl>
    <w:p>
      <w:pPr>
        <w:spacing w:before="0" w:after="120"/>
      </w:pPr>
    </w:p>
    <w:p>
      <w:pPr>
        <w:keepNext/>
        <w:spacing w:before="120" w:after="80"/>
      </w:pPr>
      <w:r>
        <w:rPr>
          <w:rFonts w:ascii="Arial" w:hAnsi="Arial"/>
          <w:b/>
          <w:color w:val="2D3748"/>
          <w:sz w:val="22"/>
        </w:rPr>
        <w:t>Finding 3</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Lubrication condition was observed.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Adequate lubrication required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 observed Adequate lubrication required</w:t>
            </w:r>
          </w:p>
        </w:tc>
      </w:tr>
    </w:tbl>
    <w:p>
      <w:pPr>
        <w:spacing w:before="0" w:after="120"/>
      </w:pPr>
    </w:p>
    <w:p>
      <w:pPr>
        <w:keepNext/>
        <w:spacing w:before="120" w:after="80"/>
      </w:pPr>
      <w:r>
        <w:rPr>
          <w:rFonts w:ascii="Arial" w:hAnsi="Arial"/>
          <w:b/>
          <w:color w:val="2D3748"/>
          <w:sz w:val="22"/>
        </w:rPr>
        <w:t>Finding 4</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Equipment should remain under controlled maintenance review until the bearing condition has been inspected and corrective actions have been completed in accordance with the applicable company procedures.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N/A</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N/A</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N/A</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inspection identified abnormal bearing temperature, elevated vibration, and inadequate lubrication on P-101. The equipment should remain under controlled maintenance review until the bearing condition has been inspected and corrective actions have been completed in accordance with the applicable company procedures.</w:t>
            </w:r>
          </w:p>
        </w:tc>
      </w:tr>
    </w:tbl>
    <w:p>
      <w:pPr>
        <w:spacing w:before="0" w:after="120"/>
      </w:pPr>
    </w:p>
    <w:p>
      <w:pPr>
        <w:keepNext/>
        <w:spacing w:before="240" w:after="120"/>
      </w:pPr>
      <w:r>
        <w:rPr>
          <w:rFonts w:ascii="Arial" w:hAnsi="Arial"/>
          <w:b/>
          <w:color w:val="1A365D"/>
          <w:sz w:val="26"/>
        </w:rPr>
        <w:t>4. Technical Analysis</w:t>
      </w:r>
    </w:p>
    <w:p>
      <w:pPr>
        <w:spacing w:after="160"/>
      </w:pPr>
      <w:r>
        <w:rPr>
          <w:rFonts w:ascii="Arial" w:hAnsi="Arial"/>
          <w:sz w:val="20"/>
        </w:rPr>
        <w:t>Evaluation was performed by correlating observed parameters against standard operating procedures (Demo_Inspection_Guidelines.pdf, Demo_Maintenance_SOP.pdf). Assessment analysis indicates: The observed bearing temperature (92 °C) exceeds the documented limit of 80 °C, indicating a potential for equipment damage or failure.</w:t>
      </w:r>
    </w:p>
    <w:p>
      <w:pPr>
        <w:keepNext/>
        <w:spacing w:before="240" w:after="120"/>
      </w:pPr>
      <w:r>
        <w:rPr>
          <w:rFonts w:ascii="Arial" w:hAnsi="Arial"/>
          <w:b/>
          <w:color w:val="1A365D"/>
          <w:sz w:val="26"/>
        </w:rPr>
        <w:t>5. Risk Assessment</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80" w:type="dxa"/>
              <w:bottom w:w="80" w:type="dxa"/>
              <w:left w:w="100" w:type="dxa"/>
              <w:right w:w="100" w:type="dxa"/>
            </w:tcMar>
          </w:tcPr>
          <w:p>
            <w:r>
              <w:rPr>
                <w:rFonts w:ascii="Arial" w:hAnsi="Arial"/>
                <w:b/>
                <w:sz w:val="20"/>
              </w:rPr>
              <w:t>Risk Level</w:t>
            </w:r>
          </w:p>
        </w:tc>
        <w:tc>
          <w:tcPr>
            <w:tcW w:type="dxa" w:w="6768"/>
            <w:shd w:fill="FED7D7"/>
            <w:tcMar>
              <w:top w:w="80" w:type="dxa"/>
              <w:bottom w:w="80" w:type="dxa"/>
              <w:left w:w="100" w:type="dxa"/>
              <w:right w:w="100" w:type="dxa"/>
            </w:tcMar>
          </w:tcPr>
          <w:p>
            <w:r>
              <w:rPr>
                <w:rFonts w:ascii="Arial" w:hAnsi="Arial"/>
                <w:b/>
                <w:color w:val="C53030"/>
                <w:sz w:val="22"/>
              </w:rPr>
              <w:t>HIGH</w:t>
            </w:r>
          </w:p>
        </w:tc>
      </w:tr>
      <w:tr>
        <w:tc>
          <w:tcPr>
            <w:tcW w:type="dxa" w:w="2592"/>
            <w:shd w:fill="EDF2F7"/>
            <w:tcMar>
              <w:top w:w="80" w:type="dxa"/>
              <w:bottom w:w="80" w:type="dxa"/>
              <w:left w:w="100" w:type="dxa"/>
              <w:right w:w="100" w:type="dxa"/>
            </w:tcMar>
          </w:tcPr>
          <w:p>
            <w:r>
              <w:rPr>
                <w:rFonts w:ascii="Arial" w:hAnsi="Arial"/>
                <w:b/>
                <w:sz w:val="20"/>
              </w:rPr>
              <w:t>Reason</w:t>
            </w:r>
          </w:p>
        </w:tc>
        <w:tc>
          <w:tcPr>
            <w:tcW w:type="dxa" w:w="6768"/>
            <w:shd w:fill="FFFFFF"/>
            <w:tcMar>
              <w:top w:w="80" w:type="dxa"/>
              <w:bottom w:w="80" w:type="dxa"/>
              <w:left w:w="100" w:type="dxa"/>
              <w:right w:w="100" w:type="dxa"/>
            </w:tcMar>
          </w:tcPr>
          <w:p>
            <w:r>
              <w:rPr>
                <w:rFonts w:ascii="Arial" w:hAnsi="Arial"/>
                <w:sz w:val="19"/>
              </w:rPr>
              <w:t>The observed bearing temperature (92 °C) exceeds the documented limit of 80 °C, indicating a potential for equipment damage or failure.</w:t>
            </w:r>
          </w:p>
        </w:tc>
      </w:tr>
    </w:tbl>
    <w:p>
      <w:pPr>
        <w:spacing w:after="120"/>
      </w:pPr>
    </w:p>
    <w:p>
      <w:pPr>
        <w:keepNext/>
        <w:spacing w:before="240" w:after="120"/>
      </w:pPr>
      <w:r>
        <w:rPr>
          <w:rFonts w:ascii="Arial" w:hAnsi="Arial"/>
          <w:b/>
          <w:color w:val="1A365D"/>
          <w:sz w:val="26"/>
        </w:rPr>
        <w:t>6. Recommendation</w:t>
      </w:r>
    </w:p>
    <w:tbl>
      <w:tblPr>
        <w:tblW w:type="auto" w:w="0"/>
        <w:jc w:val="center"/>
        <w:tblLook w:firstColumn="1" w:firstRow="1" w:lastColumn="0" w:lastRow="0" w:noHBand="0" w:noVBand="1" w:val="04A0"/>
      </w:tblPr>
      <w:tblGrid>
        <w:gridCol w:w="9360"/>
      </w:tblGrid>
      <w:tr>
        <w:tc>
          <w:tcPr>
            <w:tcW w:type="dxa" w:w="9360"/>
            <w:shd w:fill="EBF8FF"/>
            <w:tcMar>
              <w:top w:w="100" w:type="dxa"/>
              <w:bottom w:w="100" w:type="dxa"/>
              <w:left w:w="120" w:type="dxa"/>
              <w:right w:w="120" w:type="dxa"/>
            </w:tcMar>
          </w:tcPr>
          <w:p>
            <w:pPr>
              <w:spacing w:before="80" w:after="80"/>
            </w:pPr>
            <w:r>
              <w:rPr>
                <w:rFonts w:ascii="Arial" w:hAnsi="Arial"/>
                <w:b/>
                <w:color w:val="2B6CB0"/>
                <w:sz w:val="20"/>
              </w:rPr>
              <w:t>Inspect the bearing assembly, check lubrication condition, and check for abnormal vibration. Do not return the equipment to service until the inspection is complete. Record the observation, inspect the bearing assembly, check lubrication condition, and check for abnormal vibration. Do not return equipment to service until inspection is complete. Conduct an immediate bearing inspection and apply adequate lubrication condition to prevent further damage. Schedule an immediate bearing inspection and corrective actions to be completed in accordance with the applicable company procedures for P-101.</w:t>
            </w:r>
          </w:p>
        </w:tc>
      </w:tr>
    </w:tbl>
    <w:p>
      <w:pPr>
        <w:spacing w:after="120"/>
      </w:pPr>
    </w:p>
    <w:p>
      <w:pPr>
        <w:keepNext/>
        <w:spacing w:before="240" w:after="120"/>
      </w:pPr>
      <w:r>
        <w:rPr>
          <w:rFonts w:ascii="Arial" w:hAnsi="Arial"/>
          <w:b/>
          <w:color w:val="1A365D"/>
          <w:sz w:val="26"/>
        </w:rPr>
        <w:t>7. References</w:t>
      </w:r>
    </w:p>
    <w:p>
      <w:pPr>
        <w:spacing w:after="80"/>
        <w:ind w:left="360"/>
      </w:pPr>
      <w:r>
        <w:rPr>
          <w:rFonts w:ascii="Arial" w:hAnsi="Arial"/>
          <w:b/>
          <w:sz w:val="19"/>
        </w:rPr>
        <w:t xml:space="preserve">[1] </w:t>
      </w:r>
      <w:r>
        <w:rPr>
          <w:rFonts w:ascii="Arial" w:hAnsi="Arial"/>
          <w:sz w:val="19"/>
        </w:rPr>
        <w:t>Filename: Demo_Maintenance_SOP.pdf | Page: 1 | Chunk Index: 0 | Document ID: c2fd4c4f-8d4e-406e-9bb2-7b3c6e94d9b5</w:t>
      </w:r>
    </w:p>
    <w:p>
      <w:pPr>
        <w:spacing w:after="80"/>
        <w:ind w:left="360"/>
      </w:pPr>
      <w:r>
        <w:rPr>
          <w:rFonts w:ascii="Arial" w:hAnsi="Arial"/>
          <w:b/>
          <w:sz w:val="19"/>
        </w:rPr>
        <w:t xml:space="preserve">[2] </w:t>
      </w:r>
      <w:r>
        <w:rPr>
          <w:rFonts w:ascii="Arial" w:hAnsi="Arial"/>
          <w:sz w:val="19"/>
        </w:rPr>
        <w:t>Filename: Demo_Inspection_Guidelines.pdf | Page: 1 | Chunk Index: 0 | Document ID: d450bd44-c57e-4fe8-a141-84a1af9d8063</w:t>
      </w:r>
    </w:p>
    <w:p>
      <w:pPr>
        <w:spacing w:after="80"/>
        <w:ind w:left="360"/>
      </w:pPr>
      <w:r>
        <w:rPr>
          <w:rFonts w:ascii="Arial" w:hAnsi="Arial"/>
          <w:b/>
          <w:sz w:val="19"/>
        </w:rPr>
        <w:t xml:space="preserve">[3] </w:t>
      </w:r>
      <w:r>
        <w:rPr>
          <w:rFonts w:ascii="Arial" w:hAnsi="Arial"/>
          <w:sz w:val="19"/>
        </w:rPr>
        <w:t>Filename: Demo_Maintenance_SOP.pdf | Page: 2 | Chunk Index: 1 | Document ID: c2fd4c4f-8d4e-406e-9bb2-7b3c6e94d9b5</w:t>
      </w:r>
    </w:p>
    <w:p>
      <w:pPr>
        <w:spacing w:after="120"/>
      </w:pPr>
    </w:p>
    <w:p>
      <w:pPr>
        <w:keepNext/>
        <w:spacing w:before="240" w:after="120"/>
      </w:pPr>
      <w:r>
        <w:rPr>
          <w:rFonts w:ascii="Arial" w:hAnsi="Arial"/>
          <w:b/>
          <w:color w:val="1A365D"/>
          <w:sz w:val="26"/>
        </w:rPr>
        <w:t>8. Approval</w:t>
      </w:r>
    </w:p>
    <w:tbl>
      <w:tblPr>
        <w:tblW w:type="auto" w:w="0"/>
        <w:jc w:val="center"/>
        <w:tblLayout w:type="fixed"/>
        <w:tblLook w:firstColumn="1" w:firstRow="1" w:lastColumn="0" w:lastRow="0" w:noHBand="0" w:noVBand="1" w:val="04A0"/>
      </w:tblPr>
      <w:tblGrid>
        <w:gridCol w:w="4680"/>
        <w:gridCol w:w="4680"/>
      </w:tblGrid>
      <w:tr>
        <w:tc>
          <w:tcPr>
            <w:tcW w:type="dxa" w:w="2880"/>
            <w:shd w:fill="F7FAFC"/>
            <w:tcMar>
              <w:top w:w="60" w:type="dxa"/>
              <w:bottom w:w="60" w:type="dxa"/>
              <w:left w:w="80" w:type="dxa"/>
              <w:right w:w="80" w:type="dxa"/>
            </w:tcMar>
          </w:tcPr>
          <w:p>
            <w:pPr>
              <w:spacing w:before="40" w:after="40"/>
            </w:pPr>
            <w:r>
              <w:rPr>
                <w:rFonts w:ascii="Arial" w:hAnsi="Arial"/>
                <w:b/>
                <w:color w:val="4A5568"/>
                <w:sz w:val="19"/>
              </w:rPr>
              <w:t>Prepared By:</w:t>
            </w:r>
          </w:p>
        </w:tc>
        <w:tc>
          <w:tcPr>
            <w:tcW w:type="dxa" w:w="6480"/>
            <w:shd w:fill="FFFFFF"/>
            <w:tcMar>
              <w:top w:w="60" w:type="dxa"/>
              <w:bottom w:w="60" w:type="dxa"/>
              <w:left w:w="80" w:type="dxa"/>
              <w:right w:w="80" w:type="dxa"/>
            </w:tcMar>
          </w:tcPr>
          <w:p>
            <w:pPr>
              <w:spacing w:before="40" w:after="40"/>
            </w:pPr>
            <w:r>
              <w:rPr>
                <w:rFonts w:ascii="Arial" w:hAnsi="Arial"/>
                <w:sz w:val="19"/>
              </w:rPr>
              <w:t>SovereignAI</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Reviewed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Approved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Date:</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CONFIDENTIAL — For Authorized Operational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7"/>
      </w:rPr>
      <w:t>SovereignAI — Industrial Inspection &amp; Approval Note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