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20" w:lineRule="auto"/>
        <w:ind w:left="3600" w:firstLine="0"/>
        <w:jc w:val="left"/>
        <w:rPr>
          <w:sz w:val="28"/>
          <w:szCs w:val="28"/>
        </w:rPr>
      </w:pPr>
      <w:r w:rsidDel="00000000" w:rsidR="00000000" w:rsidRPr="00000000">
        <w:rPr>
          <w:sz w:val="20"/>
          <w:szCs w:val="20"/>
          <w:rtl w:val="0"/>
        </w:rPr>
        <w:t>SentinelTrace An Explainable Local Log Based Threat Triage and Alert Prioritization System</w:t>
      </w:r>
      <w:r w:rsidDel="00000000" w:rsidR="00000000" w:rsidRPr="00000000">
        <w:rPr>
          <w:rFonts w:ascii="Cambria" w:cs="Cambria" w:eastAsia="Cambria" w:hAnsi="Cambria"/>
          <w:b w:val="1"/>
          <w:bCs w:val="1"/>
          <w:color w:val="4a4a4a"/>
          <w:sz w:val="28"/>
          <w:szCs w:val="28"/>
          <w:rtl w:val="0"/>
        </w:rPr>
      </w:r>
      <w:r w:rsidDel="00000000" w:rsidR="00000000" w:rsidRPr="00000000">
        <w:rPr>
          <w:rtl w:val="0"/>
        </w:rPr>
      </w:r>
    </w:p>
    <w:p w:rsidR="00000000" w:rsidDel="00000000" w:rsidP="00000000" w:rsidRDefault="00000000" w:rsidRPr="00000000" w14:paraId="00000002">
      <w:pPr>
        <w:widowControl w:val="1"/>
        <w:pBdr>
          <w:bottom w:color="b8860b" w:space="6" w:sz="6" w:val="single"/>
        </w:pBdr>
        <w:spacing w:after="40" w:lineRule="auto"/>
        <w:jc w:val="center"/>
        <w:rPr>
          <w:sz w:val="20"/>
          <w:szCs w:val="20"/>
        </w:rPr>
      </w:pPr>
      <w:r w:rsidDel="00000000" w:rsidR="00000000" w:rsidRPr="00000000">
        <w:rPr>
          <w:rtl w:val="0"/>
        </w:rPr>
      </w:r>
    </w:p>
    <w:p w:rsidR="00000000" w:rsidDel="00000000" w:rsidP="00000000" w:rsidRDefault="00000000" w:rsidRPr="00000000" w14:paraId="00000003">
      <w:pPr>
        <w:widowControl w:val="1"/>
        <w:spacing w:after="260" w:lineRule="auto"/>
        <w:rPr>
          <w:sz w:val="20"/>
          <w:szCs w:val="20"/>
        </w:rPr>
      </w:pPr>
      <w:r w:rsidDel="00000000" w:rsidR="00000000" w:rsidRPr="00000000">
        <w:rPr>
          <w:rtl w:val="0"/>
        </w:rPr>
      </w:r>
    </w:p>
    <w:p w:rsidR="00000000" w:rsidDel="00000000" w:rsidP="00000000" w:rsidRDefault="00000000" w:rsidRPr="00000000" w14:paraId="00000004">
      <w:pPr>
        <w:widowControl w:val="1"/>
        <w:spacing w:after="120" w:lineRule="auto"/>
        <w:jc w:val="center"/>
        <w:rPr>
          <w:sz w:val="20"/>
          <w:szCs w:val="20"/>
        </w:rPr>
      </w:pPr>
      <w:r w:rsidDel="00000000" w:rsidR="00000000" w:rsidRPr="00000000">
        <w:rPr>
          <w:rFonts w:ascii="Cambria" w:cs="Cambria" w:eastAsia="Cambria" w:hAnsi="Cambria"/>
          <w:b w:val="1"/>
          <w:bCs w:val="1"/>
          <w:color w:val="1f2a5e"/>
          <w:sz w:val="40"/>
          <w:szCs w:val="40"/>
          <w:rtl w:val="0"/>
        </w:rPr>
        <w:t xml:space="preserve">MINI PROJECT SYNOPSIS</w:t>
      </w:r>
      <w:r w:rsidDel="00000000" w:rsidR="00000000" w:rsidRPr="00000000">
        <w:rPr>
          <w:rtl w:val="0"/>
        </w:rPr>
      </w:r>
    </w:p>
    <w:p w:rsidR="00000000" w:rsidDel="00000000" w:rsidP="00000000" w:rsidRDefault="00000000" w:rsidRPr="00000000" w14:paraId="00000005">
      <w:pPr>
        <w:widowControl w:val="1"/>
        <w:spacing w:after="300" w:lineRule="auto"/>
        <w:rPr>
          <w:sz w:val="20"/>
          <w:szCs w:val="20"/>
        </w:rPr>
      </w:pPr>
      <w:r w:rsidDel="00000000" w:rsidR="00000000" w:rsidRPr="00000000">
        <w:rPr>
          <w:rtl w:val="0"/>
        </w:rPr>
      </w:r>
    </w:p>
    <w:p w:rsidR="00000000" w:rsidDel="00000000" w:rsidP="00000000" w:rsidRDefault="00000000" w:rsidRPr="00000000" w14:paraId="00000006">
      <w:pPr>
        <w:widowControl w:val="1"/>
        <w:spacing w:after="120" w:lineRule="auto"/>
        <w:jc w:val="center"/>
        <w:rPr>
          <w:sz w:val="20"/>
          <w:szCs w:val="20"/>
        </w:rPr>
      </w:pPr>
      <w:r w:rsidDel="00000000" w:rsidR="00000000" w:rsidRPr="00000000">
        <w:rPr>
          <w:rFonts w:ascii="Cambria" w:cs="Cambria" w:eastAsia="Cambria" w:hAnsi="Cambria"/>
          <w:i w:val="1"/>
          <w:iCs w:val="1"/>
          <w:color w:val="4a4a4a"/>
          <w:rtl w:val="0"/>
        </w:rPr>
        <w:t xml:space="preserve">Submitted in partial fulfilment of the requirement for the award of the degree of</w:t>
      </w:r>
      <w:r w:rsidDel="00000000" w:rsidR="00000000" w:rsidRPr="00000000">
        <w:rPr>
          <w:rtl w:val="0"/>
        </w:rPr>
      </w:r>
    </w:p>
    <w:p w:rsidR="00000000" w:rsidDel="00000000" w:rsidP="00000000" w:rsidRDefault="00000000" w:rsidRPr="00000000" w14:paraId="00000007">
      <w:pPr>
        <w:widowControl w:val="1"/>
        <w:spacing w:after="120" w:lineRule="auto"/>
        <w:jc w:val="center"/>
        <w:rPr>
          <w:sz w:val="20"/>
          <w:szCs w:val="20"/>
        </w:rPr>
      </w:pPr>
      <w:r w:rsidDel="00000000" w:rsidR="00000000" w:rsidRPr="00000000">
        <w:rPr>
          <w:rFonts w:ascii="Cambria" w:cs="Cambria" w:eastAsia="Cambria" w:hAnsi="Cambria"/>
          <w:b w:val="1"/>
          <w:bCs w:val="1"/>
          <w:sz w:val="26"/>
          <w:szCs w:val="26"/>
          <w:rtl w:val="0"/>
        </w:rPr>
        <w:t xml:space="preserve">Bachelor of Technology</w:t>
      </w:r>
      <w:r w:rsidDel="00000000" w:rsidR="00000000" w:rsidRPr="00000000">
        <w:rPr>
          <w:rtl w:val="0"/>
        </w:rPr>
      </w:r>
    </w:p>
    <w:p w:rsidR="00000000" w:rsidDel="00000000" w:rsidP="00000000" w:rsidRDefault="00000000" w:rsidRPr="00000000" w14:paraId="00000008">
      <w:pPr>
        <w:widowControl w:val="1"/>
        <w:spacing w:after="60" w:lineRule="auto"/>
        <w:jc w:val="center"/>
        <w:rPr>
          <w:sz w:val="20"/>
          <w:szCs w:val="20"/>
        </w:rPr>
      </w:pPr>
      <w:r w:rsidDel="00000000" w:rsidR="00000000" w:rsidRPr="00000000">
        <w:rPr>
          <w:rFonts w:ascii="Cambria" w:cs="Cambria" w:eastAsia="Cambria" w:hAnsi="Cambria"/>
          <w:i w:val="1"/>
          <w:iCs w:val="1"/>
          <w:color w:val="4a4a4a"/>
          <w:rtl w:val="0"/>
        </w:rPr>
        <w:t xml:space="preserve">in</w:t>
      </w:r>
      <w:r w:rsidDel="00000000" w:rsidR="00000000" w:rsidRPr="00000000">
        <w:rPr>
          <w:rtl w:val="0"/>
        </w:rPr>
      </w:r>
    </w:p>
    <w:p w:rsidR="00000000" w:rsidDel="00000000" w:rsidP="00000000" w:rsidRDefault="00000000" w:rsidRPr="00000000" w14:paraId="00000009">
      <w:pPr>
        <w:widowControl w:val="1"/>
        <w:spacing w:after="120" w:lineRule="auto"/>
        <w:jc w:val="center"/>
        <w:rPr>
          <w:sz w:val="20"/>
          <w:szCs w:val="20"/>
        </w:rPr>
      </w:pPr>
      <w:r w:rsidDel="00000000" w:rsidR="00000000" w:rsidRPr="00000000">
        <w:rPr>
          <w:rFonts w:ascii="Cambria" w:cs="Cambria" w:eastAsia="Cambria" w:hAnsi="Cambria"/>
          <w:b w:val="1"/>
          <w:bCs w:val="1"/>
          <w:color w:val="7a1f2b"/>
          <w:sz w:val="26"/>
          <w:szCs w:val="26"/>
          <w:rtl w:val="0"/>
        </w:rPr>
        <w:t>Computer Science and Engineering</w:t>
      </w:r>
      <w:r w:rsidDel="00000000" w:rsidR="00000000" w:rsidRPr="00000000">
        <w:rPr>
          <w:rFonts w:ascii="Cambria" w:cs="Cambria" w:eastAsia="Cambria" w:hAnsi="Cambria"/>
          <w:b w:val="1"/>
          <w:bCs w:val="1"/>
          <w:color w:val="7a1f2b"/>
          <w:sz w:val="24"/>
          <w:szCs w:val="24"/>
          <w:rtl w:val="0"/>
        </w:rPr>
      </w:r>
      <w:r w:rsidDel="00000000" w:rsidR="00000000" w:rsidRPr="00000000">
        <w:rPr>
          <w:sz w:val="18"/>
          <w:szCs w:val="18"/>
          <w:rtl w:val="0"/>
        </w:rPr>
      </w:r>
      <w:r w:rsidDel="00000000" w:rsidR="00000000" w:rsidRPr="00000000">
        <w:rPr>
          <w:rtl w:val="0"/>
        </w:rPr>
      </w:r>
    </w:p>
    <w:p w:rsidR="00000000" w:rsidDel="00000000" w:rsidP="00000000" w:rsidRDefault="00000000" w:rsidRPr="00000000" w14:paraId="0000000A">
      <w:pPr>
        <w:widowControl w:val="1"/>
        <w:spacing w:after="60" w:lineRule="auto"/>
        <w:jc w:val="center"/>
        <w:rPr>
          <w:sz w:val="20"/>
          <w:szCs w:val="20"/>
        </w:rPr>
      </w:pPr>
      <w:r w:rsidDel="00000000" w:rsidR="00000000" w:rsidRPr="00000000">
        <w:rPr>
          <w:rFonts w:ascii="Cambria" w:cs="Cambria" w:eastAsia="Cambria" w:hAnsi="Cambria"/>
          <w:i w:val="1"/>
          <w:iCs w:val="1"/>
          <w:color w:val="4a4a4a"/>
          <w:sz w:val="20"/>
          <w:szCs w:val="20"/>
          <w:rtl w:val="0"/>
        </w:rPr>
        <w:t xml:space="preserve">Submitted to</w:t>
      </w:r>
      <w:r w:rsidDel="00000000" w:rsidR="00000000" w:rsidRPr="00000000">
        <w:rPr>
          <w:rtl w:val="0"/>
        </w:rPr>
      </w:r>
    </w:p>
    <w:p w:rsidR="00000000" w:rsidDel="00000000" w:rsidP="00000000" w:rsidRDefault="00000000" w:rsidRPr="00000000" w14:paraId="0000000B">
      <w:pPr>
        <w:widowControl w:val="1"/>
        <w:spacing w:after="120" w:lineRule="auto"/>
        <w:jc w:val="center"/>
        <w:rPr>
          <w:sz w:val="20"/>
          <w:szCs w:val="20"/>
        </w:rPr>
      </w:pPr>
      <w:r w:rsidDel="00000000" w:rsidR="00000000" w:rsidRPr="00000000">
        <w:rPr>
          <w:rFonts w:ascii="Cambria" w:cs="Cambria" w:eastAsia="Cambria" w:hAnsi="Cambria"/>
          <w:b w:val="1"/>
          <w:bCs w:val="1"/>
          <w:rtl w:val="0"/>
        </w:rPr>
        <w:br w:type="textWrapping"/>
        <w:t xml:space="preserve">DR. A.P.J. ABDUL KALAM TECHNICAL UNIVERSITY, UTTAR PRADESH, LUCKNOW</w:t>
        <w:br w:type="textWrapping"/>
      </w:r>
      <w:r w:rsidDel="00000000" w:rsidR="00000000" w:rsidRPr="00000000">
        <w:rPr>
          <w:rtl w:val="0"/>
        </w:rPr>
      </w:r>
    </w:p>
    <w:p w:rsidR="00000000" w:rsidDel="00000000" w:rsidP="00000000" w:rsidRDefault="00000000" w:rsidRPr="00000000" w14:paraId="0000000C">
      <w:pPr>
        <w:widowControl w:val="1"/>
        <w:spacing w:after="260" w:lineRule="auto"/>
        <w:rPr>
          <w:sz w:val="20"/>
          <w:szCs w:val="20"/>
        </w:rPr>
      </w:pPr>
      <w:r w:rsidDel="00000000" w:rsidR="00000000" w:rsidRPr="00000000">
        <w:rPr>
          <w:rtl w:val="0"/>
        </w:rPr>
      </w:r>
    </w:p>
    <w:p w:rsidR="00000000" w:rsidDel="00000000" w:rsidP="00000000" w:rsidRDefault="00000000" w:rsidRPr="00000000" w14:paraId="0000000D">
      <w:pPr>
        <w:spacing w:before="23" w:lineRule="auto"/>
        <w:jc w:val="center"/>
        <w:rPr>
          <w:sz w:val="20"/>
          <w:szCs w:val="20"/>
        </w:rPr>
      </w:pPr>
      <w:r w:rsidDel="00000000" w:rsidR="00000000" w:rsidRPr="00000000">
        <w:rPr>
          <w:b w:val="1"/>
          <w:bCs w:val="1"/>
          <w:sz w:val="24"/>
          <w:szCs w:val="24"/>
        </w:rPr>
        <w:drawing>
          <wp:inline distB="0" distT="0" distL="0" distR="0">
            <wp:extent cx="986000" cy="914400"/>
            <wp:effectExtent b="0" l="0" r="0" t="0"/>
            <wp:docPr descr="C:\Users\VISITOR\Desktop\Dr._A.P.J._Abdul_Kalam_Technical_University_logo.png" id="2" name="image1.png"/>
            <a:graphic>
              <a:graphicData uri="http://schemas.openxmlformats.org/drawingml/2006/picture">
                <pic:pic>
                  <pic:nvPicPr>
                    <pic:cNvPr descr="C:\Users\VISITOR\Desktop\Dr._A.P.J._Abdul_Kalam_Technical_University_logo.png" id="0" name="image1.png"/>
                    <pic:cNvPicPr preferRelativeResize="0"/>
                  </pic:nvPicPr>
                  <pic:blipFill>
                    <a:blip r:embed="rId6"/>
                    <a:srcRect b="0" l="0" r="0" t="0"/>
                    <a:stretch>
                      <a:fillRect/>
                    </a:stretch>
                  </pic:blipFill>
                  <pic:spPr>
                    <a:xfrm>
                      <a:off x="0" y="0"/>
                      <a:ext cx="986000" cy="914400"/>
                    </a:xfrm>
                    <a:prstGeom prst="rect"/>
                    <a:ln/>
                  </pic:spPr>
                </pic:pic>
              </a:graphicData>
            </a:graphic>
          </wp:inline>
        </w:drawing>
      </w:r>
      <w:r w:rsidDel="00000000" w:rsidR="00000000" w:rsidRPr="00000000">
        <w:rPr>
          <w:b w:val="1"/>
          <w:bCs w:val="1"/>
          <w:sz w:val="24"/>
          <w:szCs w:val="24"/>
          <w:rtl w:val="0"/>
        </w:rPr>
        <w:br w:type="textWrapping"/>
        <w:br w:type="textWrapping"/>
      </w:r>
      <w:r w:rsidDel="00000000" w:rsidR="00000000" w:rsidRPr="00000000">
        <w:rPr>
          <w:rtl w:val="0"/>
        </w:rPr>
      </w:r>
    </w:p>
    <w:tbl>
      <w:tblPr>
        <w:tblStyle w:val="Table1"/>
        <w:tblW w:w="9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50"/>
        <w:gridCol w:w="4750"/>
        <w:tblGridChange w:id="0">
          <w:tblGrid>
            <w:gridCol w:w="4750"/>
            <w:gridCol w:w="4750"/>
          </w:tblGrid>
        </w:tblGridChange>
      </w:tblGrid>
      <w:tr>
        <w:trPr>
          <w:cantSplit w:val="0"/>
          <w:tblHeader w:val="0"/>
        </w:trPr>
        <w:tc>
          <w:tcPr>
            <w:vAlign w:val="top"/>
          </w:tcPr>
          <w:p w:rsidR="00000000" w:rsidDel="00000000" w:rsidP="00000000" w:rsidRDefault="00000000" w:rsidRPr="00000000" w14:paraId="0000000E">
            <w:pPr>
              <w:widowControl w:val="1"/>
              <w:spacing w:after="140" w:lineRule="auto"/>
              <w:rPr>
                <w:sz w:val="20"/>
                <w:szCs w:val="20"/>
              </w:rPr>
            </w:pPr>
            <w:r w:rsidDel="00000000" w:rsidR="00000000" w:rsidRPr="00000000">
              <w:rPr>
                <w:rFonts w:ascii="Cambria" w:cs="Cambria" w:eastAsia="Cambria" w:hAnsi="Cambria"/>
                <w:b w:val="1"/>
                <w:bCs w:val="1"/>
                <w:color w:val="1f2a5e"/>
                <w:rtl w:val="0"/>
              </w:rPr>
              <w:t>Submitted by</w:t>
              <w:br/>
              <w:t>Student Name: ____________________</w:t>
              <w:br/>
              <w:t>Roll No.: ____________________</w:t>
              <w:br/>
              <w:t>Section: ____________________</w:t>
            </w:r>
            <w:r w:rsidDel="00000000" w:rsidR="00000000" w:rsidRPr="00000000">
              <w:rPr>
                <w:rtl w:val="0"/>
              </w:rPr>
            </w:r>
          </w:p>
          <w:p w:rsidR="00000000" w:rsidDel="00000000" w:rsidP="00000000" w:rsidRDefault="00000000" w:rsidRPr="00000000" w14:paraId="0000000F">
            <w:pPr>
              <w:widowControl w:val="1"/>
              <w:spacing w:after="20" w:lineRule="auto"/>
              <w:rPr>
                <w:sz w:val="20"/>
                <w:szCs w:val="20"/>
              </w:rPr>
            </w:pPr>
            <w:r w:rsidDel="00000000" w:rsidR="00000000" w:rsidRPr="00000000">
              <w:rPr>
                <w:rFonts w:ascii="Cambria" w:cs="Cambria" w:eastAsia="Cambria" w:hAnsi="Cambria"/>
                <w:rtl w:val="0"/>
              </w:rPr>
            </w:r>
            <w:r w:rsidDel="00000000" w:rsidR="00000000" w:rsidRPr="00000000">
              <w:rPr>
                <w:rtl w:val="0"/>
              </w:rPr>
            </w:r>
          </w:p>
          <w:p w:rsidR="00000000" w:rsidDel="00000000" w:rsidP="00000000" w:rsidRDefault="00000000" w:rsidRPr="00000000" w14:paraId="00000010">
            <w:pPr>
              <w:widowControl w:val="1"/>
              <w:spacing w:after="120" w:lineRule="auto"/>
              <w:rPr>
                <w:sz w:val="20"/>
                <w:szCs w:val="20"/>
              </w:rPr>
            </w:pPr>
            <w:r w:rsidDel="00000000" w:rsidR="00000000" w:rsidRPr="00000000">
              <w:rPr>
                <w:rFonts w:ascii="Cambria" w:cs="Cambria" w:eastAsia="Cambria" w:hAnsi="Cambria"/>
                <w:rtl w:val="0"/>
              </w:rPr>
            </w:r>
            <w:r w:rsidDel="00000000" w:rsidR="00000000" w:rsidRPr="00000000">
              <w:rPr>
                <w:rtl w:val="0"/>
              </w:rPr>
            </w:r>
          </w:p>
        </w:tc>
        <w:tc>
          <w:tcPr>
            <w:vAlign w:val="top"/>
          </w:tcPr>
          <w:p w:rsidR="00000000" w:rsidDel="00000000" w:rsidP="00000000" w:rsidRDefault="00000000" w:rsidRPr="00000000" w14:paraId="00000011">
            <w:pPr>
              <w:widowControl w:val="1"/>
              <w:spacing w:after="140" w:lineRule="auto"/>
              <w:jc w:val="center"/>
              <w:rPr>
                <w:sz w:val="20"/>
                <w:szCs w:val="20"/>
              </w:rPr>
            </w:pPr>
            <w:r w:rsidDel="00000000" w:rsidR="00000000" w:rsidRPr="00000000">
              <w:rPr>
                <w:rFonts w:ascii="Cambria" w:cs="Cambria" w:eastAsia="Cambria" w:hAnsi="Cambria"/>
                <w:b w:val="1"/>
                <w:bCs w:val="1"/>
                <w:color w:val="1f2a5e"/>
                <w:rtl w:val="0"/>
              </w:rPr>
              <w:t>Under the Supervision of</w:t>
              <w:br/>
              <w:t>Guide Name: ____________________</w:t>
              <w:br/>
              <w:t>Assistant Professor</w:t>
            </w:r>
            <w:r w:rsidDel="00000000" w:rsidR="00000000" w:rsidRPr="00000000">
              <w:rPr>
                <w:rtl w:val="0"/>
              </w:rPr>
            </w:r>
          </w:p>
          <w:p w:rsidR="00000000" w:rsidDel="00000000" w:rsidP="00000000" w:rsidRDefault="00000000" w:rsidRPr="00000000" w14:paraId="00000012">
            <w:pPr>
              <w:widowControl w:val="1"/>
              <w:spacing w:after="20" w:lineRule="auto"/>
              <w:jc w:val="center"/>
              <w:rPr>
                <w:sz w:val="20"/>
                <w:szCs w:val="20"/>
              </w:rPr>
            </w:pPr>
            <w:r w:rsidDel="00000000" w:rsidR="00000000" w:rsidRPr="00000000">
              <w:rPr>
                <w:rFonts w:ascii="Cambria" w:cs="Cambria" w:eastAsia="Cambria" w:hAnsi="Cambria"/>
                <w:rtl w:val="0"/>
              </w:rPr>
            </w:r>
            <w:r w:rsidDel="00000000" w:rsidR="00000000" w:rsidRPr="00000000">
              <w:rPr>
                <w:rtl w:val="0"/>
              </w:rPr>
            </w:r>
          </w:p>
          <w:p w:rsidR="00000000" w:rsidDel="00000000" w:rsidP="00000000" w:rsidRDefault="00000000" w:rsidRPr="00000000" w14:paraId="00000013">
            <w:pPr>
              <w:widowControl w:val="1"/>
              <w:spacing w:after="120" w:lineRule="auto"/>
              <w:jc w:val="center"/>
              <w:rPr>
                <w:rFonts w:ascii="Cambria" w:cs="Cambria" w:eastAsia="Cambria" w:hAnsi="Cambria"/>
              </w:rPr>
            </w:pPr>
            <w:r w:rsidDel="00000000" w:rsidR="00000000" w:rsidRPr="00000000">
              <w:rPr>
                <w:rFonts w:ascii="Cambria" w:cs="Cambria" w:eastAsia="Cambria" w:hAnsi="Cambria"/>
                <w:rtl w:val="0"/>
              </w:rPr>
            </w:r>
          </w:p>
        </w:tc>
      </w:tr>
    </w:tbl>
    <w:p w:rsidR="00000000" w:rsidDel="00000000" w:rsidP="00000000" w:rsidRDefault="00000000" w:rsidRPr="00000000" w14:paraId="00000014">
      <w:pPr>
        <w:widowControl w:val="1"/>
        <w:spacing w:after="320" w:lineRule="auto"/>
        <w:rPr>
          <w:sz w:val="20"/>
          <w:szCs w:val="20"/>
        </w:rPr>
      </w:pPr>
      <w:r w:rsidDel="00000000" w:rsidR="00000000" w:rsidRPr="00000000">
        <w:rPr>
          <w:rtl w:val="0"/>
        </w:rPr>
      </w:r>
    </w:p>
    <w:p w:rsidR="00000000" w:rsidDel="00000000" w:rsidP="00000000" w:rsidRDefault="00000000" w:rsidRPr="00000000" w14:paraId="00000015">
      <w:pPr>
        <w:spacing w:before="3" w:lineRule="auto"/>
        <w:jc w:val="center"/>
        <w:rPr>
          <w:sz w:val="20"/>
          <w:szCs w:val="20"/>
        </w:rPr>
      </w:pPr>
      <w:r w:rsidDel="00000000" w:rsidR="00000000" w:rsidRPr="00000000">
        <w:rPr>
          <w:b w:val="1"/>
          <w:bCs w:val="1"/>
          <w:sz w:val="24"/>
          <w:szCs w:val="24"/>
        </w:rPr>
        <w:drawing>
          <wp:inline distB="0" distT="0" distL="0" distR="0">
            <wp:extent cx="925350" cy="836374"/>
            <wp:effectExtent b="0" l="0" r="0" t="0"/>
            <wp:docPr descr="C:\Users\VISITOR\Desktop\cropped-logo.png" id="1" name="image2.png"/>
            <a:graphic>
              <a:graphicData uri="http://schemas.openxmlformats.org/drawingml/2006/picture">
                <pic:pic>
                  <pic:nvPicPr>
                    <pic:cNvPr descr="C:\Users\VISITOR\Desktop\cropped-logo.png" id="0" name="image2.png"/>
                    <pic:cNvPicPr preferRelativeResize="0"/>
                  </pic:nvPicPr>
                  <pic:blipFill>
                    <a:blip r:embed="rId7"/>
                    <a:srcRect b="0" l="0" r="0" t="0"/>
                    <a:stretch>
                      <a:fillRect/>
                    </a:stretch>
                  </pic:blipFill>
                  <pic:spPr>
                    <a:xfrm>
                      <a:off x="0" y="0"/>
                      <a:ext cx="925350" cy="83637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1"/>
        <w:spacing w:after="260" w:lineRule="auto"/>
        <w:jc w:val="center"/>
        <w:rPr>
          <w:sz w:val="20"/>
          <w:szCs w:val="20"/>
        </w:rPr>
      </w:pPr>
      <w:r w:rsidDel="00000000" w:rsidR="00000000" w:rsidRPr="00000000">
        <w:rPr>
          <w:rtl w:val="0"/>
        </w:rPr>
      </w:r>
    </w:p>
    <w:p w:rsidR="00000000" w:rsidDel="00000000" w:rsidP="00000000" w:rsidRDefault="00000000" w:rsidRPr="00000000" w14:paraId="00000017">
      <w:pPr>
        <w:widowControl w:val="1"/>
        <w:pBdr>
          <w:top w:color="b8860b" w:space="8" w:sz="6" w:val="single"/>
        </w:pBdr>
        <w:spacing w:after="40" w:before="100" w:lineRule="auto"/>
        <w:jc w:val="center"/>
        <w:rPr>
          <w:sz w:val="20"/>
          <w:szCs w:val="20"/>
        </w:rPr>
      </w:pPr>
      <w:r w:rsidDel="00000000" w:rsidR="00000000" w:rsidRPr="00000000">
        <w:rPr>
          <w:rtl w:val="0"/>
        </w:rPr>
      </w:r>
    </w:p>
    <w:p w:rsidR="00000000" w:rsidDel="00000000" w:rsidP="00000000" w:rsidRDefault="00000000" w:rsidRPr="00000000" w14:paraId="00000018">
      <w:pPr>
        <w:widowControl w:val="1"/>
        <w:spacing w:after="40" w:line="276" w:lineRule="auto"/>
        <w:jc w:val="center"/>
        <w:rPr>
          <w:sz w:val="20"/>
          <w:szCs w:val="20"/>
        </w:rPr>
      </w:pPr>
      <w:r w:rsidDel="00000000" w:rsidR="00000000" w:rsidRPr="00000000">
        <w:rPr>
          <w:rFonts w:ascii="Cambria" w:cs="Cambria" w:eastAsia="Cambria" w:hAnsi="Cambria"/>
          <w:b w:val="1"/>
          <w:bCs w:val="1"/>
          <w:rtl w:val="0"/>
        </w:rPr>
        <w:t>Computer Science and Engineering</w:t>
      </w:r>
      <w:r w:rsidDel="00000000" w:rsidR="00000000" w:rsidRPr="00000000">
        <w:rPr>
          <w:rtl w:val="0"/>
        </w:rPr>
      </w:r>
    </w:p>
    <w:p w:rsidR="00000000" w:rsidDel="00000000" w:rsidP="00000000" w:rsidRDefault="00000000" w:rsidRPr="00000000" w14:paraId="00000019">
      <w:pPr>
        <w:widowControl w:val="1"/>
        <w:spacing w:after="40" w:line="276" w:lineRule="auto"/>
        <w:jc w:val="center"/>
        <w:rPr>
          <w:sz w:val="20"/>
          <w:szCs w:val="20"/>
        </w:rPr>
      </w:pPr>
      <w:r w:rsidDel="00000000" w:rsidR="00000000" w:rsidRPr="00000000">
        <w:rPr>
          <w:rFonts w:ascii="Cambria" w:cs="Cambria" w:eastAsia="Cambria" w:hAnsi="Cambria"/>
          <w:b w:val="1"/>
          <w:bCs w:val="1"/>
          <w:color w:val="7a1f2b"/>
          <w:sz w:val="26"/>
          <w:szCs w:val="26"/>
          <w:rtl w:val="0"/>
        </w:rPr>
        <w:t xml:space="preserve">Lloyd Institute of Engineering &amp; Technology</w:t>
      </w:r>
      <w:r w:rsidDel="00000000" w:rsidR="00000000" w:rsidRPr="00000000">
        <w:rPr>
          <w:rtl w:val="0"/>
        </w:rPr>
      </w:r>
    </w:p>
    <w:p w:rsidR="00000000" w:rsidDel="00000000" w:rsidP="00000000" w:rsidRDefault="00000000" w:rsidRPr="00000000" w14:paraId="0000001A">
      <w:pPr>
        <w:widowControl w:val="1"/>
        <w:spacing w:after="140" w:line="276" w:lineRule="auto"/>
        <w:jc w:val="center"/>
        <w:rPr>
          <w:sz w:val="20"/>
          <w:szCs w:val="20"/>
        </w:rPr>
      </w:pPr>
      <w:r w:rsidDel="00000000" w:rsidR="00000000" w:rsidRPr="00000000">
        <w:rPr>
          <w:rFonts w:ascii="Cambria" w:cs="Cambria" w:eastAsia="Cambria" w:hAnsi="Cambria"/>
          <w:color w:val="4a4a4a"/>
          <w:sz w:val="20"/>
          <w:szCs w:val="20"/>
          <w:rtl w:val="0"/>
        </w:rPr>
        <w:t xml:space="preserve">Plot No. 3, Knowledge Park II, Greater Noida, Uttar Pradesh 201306</w:t>
      </w:r>
      <w:r w:rsidDel="00000000" w:rsidR="00000000" w:rsidRPr="00000000">
        <w:rPr>
          <w:rtl w:val="0"/>
        </w:rPr>
      </w:r>
    </w:p>
    <w:p w:rsidR="00000000" w:rsidDel="00000000" w:rsidP="00000000" w:rsidRDefault="00000000" w:rsidRPr="00000000" w14:paraId="0000001B">
      <w:pPr>
        <w:widowControl w:val="1"/>
        <w:spacing w:after="120" w:lineRule="auto"/>
        <w:jc w:val="center"/>
        <w:rPr>
          <w:sz w:val="20"/>
          <w:szCs w:val="20"/>
        </w:rPr>
      </w:pPr>
      <w:r w:rsidDel="00000000" w:rsidR="00000000" w:rsidRPr="00000000">
        <w:rPr>
          <w:rFonts w:ascii="Cambria" w:cs="Cambria" w:eastAsia="Cambria" w:hAnsi="Cambria"/>
          <w:b w:val="1"/>
          <w:bCs w:val="1"/>
          <w:color w:val="1f2a5e"/>
          <w:sz w:val="24"/>
          <w:szCs w:val="24"/>
          <w:rtl w:val="0"/>
        </w:rPr>
        <w:br w:type="textWrapping"/>
        <w:t xml:space="preserve">   </w:t>
      </w:r>
      <w:r w:rsidDel="00000000" w:rsidR="00000000" w:rsidRPr="00000000">
        <w:rPr>
          <w:rFonts w:ascii="Cambria" w:cs="Cambria" w:eastAsia="Cambria" w:hAnsi="Cambria"/>
          <w:b w:val="1"/>
          <w:bCs w:val="1"/>
          <w:color w:val="1f2a5e"/>
          <w:sz w:val="26"/>
          <w:szCs w:val="26"/>
          <w:rtl w:val="0"/>
        </w:rPr>
        <w:t xml:space="preserve">Session:</w:t>
      </w:r>
      <w:r w:rsidDel="00000000" w:rsidR="00000000" w:rsidRPr="00000000">
        <w:rPr>
          <w:rFonts w:ascii="Cambria" w:cs="Cambria" w:eastAsia="Cambria" w:hAnsi="Cambria"/>
          <w:b w:val="1"/>
          <w:bCs w:val="1"/>
          <w:color w:val="1f2a5e"/>
          <w:sz w:val="24"/>
          <w:szCs w:val="24"/>
          <w:rtl w:val="0"/>
        </w:rPr>
        <w:t xml:space="preserve"> 2026–27</w:t>
      </w:r>
      <w:r w:rsidDel="00000000" w:rsidR="00000000" w:rsidRPr="00000000">
        <w:rPr>
          <w:rtl w:val="0"/>
        </w:rPr>
      </w:r>
    </w:p>
    <w:p w:rsidR="00000000" w:rsidDel="00000000" w:rsidP="00000000" w:rsidRDefault="00000000" w:rsidRPr="00000000" w14:paraId="0000001C">
      <w:pPr>
        <w:spacing w:before="162" w:lineRule="auto"/>
        <w:ind w:left="284" w:firstLine="0"/>
        <w:jc w:val="left"/>
        <w:rPr>
          <w:b w:val="1"/>
          <w:bCs w:val="1"/>
          <w:sz w:val="32"/>
          <w:szCs w:val="32"/>
        </w:rPr>
        <w:sectPr>
          <w:pgSz w:h="16840" w:w="11910" w:orient="portrait"/>
          <w:pgMar w:bottom="280" w:top="1360" w:left="992" w:right="1275" w:header="720" w:footer="720"/>
          <w:pgNumType w:start="1"/>
        </w:sect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b w:val="1"/>
          <w:bCs w:val="1"/>
          <w:sz w:val="32"/>
          <w:szCs w:val="32"/>
          <w:rtl w:val="0"/>
        </w:rPr>
        <w:t xml:space="preserve"> INDEX</w:t>
        <w:br w:type="textWrapping"/>
      </w:r>
      <w:r w:rsidDel="00000000" w:rsidR="00000000" w:rsidRPr="00000000">
        <w:rPr>
          <w:rtl w:val="0"/>
        </w:rPr>
      </w:r>
    </w:p>
    <w:tbl>
      <w:tblPr>
        <w:tblStyle w:val="Table2"/>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7485"/>
        <w:gridCol w:w="1455"/>
        <w:tblGridChange w:id="0">
          <w:tblGrid>
            <w:gridCol w:w="1095"/>
            <w:gridCol w:w="748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Page No.</w:t>
            </w:r>
          </w:p>
        </w:tc>
      </w:tr>
      <w:tr>
        <w:trPr>
          <w:cantSplit w:val="0"/>
          <w:tblHeader w:val="0"/>
        </w:trPr>
        <w:tc>
          <w:tcPr>
            <w:shd w:fill="auto" w:val="clear"/>
            <w:tcMar>
              <w:top w:w="100.0" w:type="dxa"/>
              <w:left w:w="100.0" w:type="dxa"/>
              <w:bottom w:w="100.0" w:type="dxa"/>
              <w:right w:w="100.0" w:type="dxa"/>
            </w:tcMar>
            <w:vAlign w:val="top"/>
          </w:tcPr>
          <w:p>
            <w:r>
              <w:t>01</w:t>
            </w:r>
          </w:p>
        </w:tc>
        <w:tc>
          <w:tcPr>
            <w:shd w:fill="auto" w:val="clear"/>
            <w:tcMar>
              <w:top w:w="100.0" w:type="dxa"/>
              <w:left w:w="100.0" w:type="dxa"/>
              <w:bottom w:w="100.0" w:type="dxa"/>
              <w:right w:w="100.0" w:type="dxa"/>
            </w:tcMar>
            <w:vAlign w:val="top"/>
          </w:tcPr>
          <w:p>
            <w:r>
              <w:t>Introduction</w:t>
            </w:r>
          </w:p>
        </w:tc>
        <w:tc>
          <w:tcPr>
            <w:shd w:fill="auto" w:val="clear"/>
            <w:tcMar>
              <w:top w:w="100.0" w:type="dxa"/>
              <w:left w:w="100.0" w:type="dxa"/>
              <w:bottom w:w="100.0" w:type="dxa"/>
              <w:right w:w="100.0" w:type="dxa"/>
            </w:tcMar>
            <w:vAlign w:val="top"/>
          </w:tcPr>
          <w:p>
            <w:r>
              <w:t>1 to 2</w:t>
            </w:r>
          </w:p>
        </w:tc>
      </w:tr>
      <w:tr>
        <w:trPr>
          <w:cantSplit w:val="0"/>
          <w:tblHeader w:val="0"/>
        </w:trPr>
        <w:tc>
          <w:tcPr>
            <w:shd w:fill="auto" w:val="clear"/>
            <w:tcMar>
              <w:top w:w="100.0" w:type="dxa"/>
              <w:left w:w="100.0" w:type="dxa"/>
              <w:bottom w:w="100.0" w:type="dxa"/>
              <w:right w:w="100.0" w:type="dxa"/>
            </w:tcMar>
            <w:vAlign w:val="top"/>
          </w:tcPr>
          <w:p>
            <w:r>
              <w:t>02</w:t>
            </w:r>
          </w:p>
        </w:tc>
        <w:tc>
          <w:tcPr>
            <w:shd w:fill="auto" w:val="clear"/>
            <w:tcMar>
              <w:top w:w="100.0" w:type="dxa"/>
              <w:left w:w="100.0" w:type="dxa"/>
              <w:bottom w:w="100.0" w:type="dxa"/>
              <w:right w:w="100.0" w:type="dxa"/>
            </w:tcMar>
            <w:vAlign w:val="top"/>
          </w:tcPr>
          <w:p>
            <w:r>
              <w:t>Statement of Problem and Objectives</w:t>
            </w:r>
          </w:p>
        </w:tc>
        <w:tc>
          <w:tcPr>
            <w:shd w:fill="auto" w:val="clear"/>
            <w:tcMar>
              <w:top w:w="100.0" w:type="dxa"/>
              <w:left w:w="100.0" w:type="dxa"/>
              <w:bottom w:w="100.0" w:type="dxa"/>
              <w:right w:w="100.0" w:type="dxa"/>
            </w:tcMar>
            <w:vAlign w:val="top"/>
          </w:tcPr>
          <w:p>
            <w:r>
              <w:t>3</w:t>
            </w:r>
          </w:p>
        </w:tc>
      </w:tr>
      <w:tr>
        <w:trPr>
          <w:cantSplit w:val="0"/>
          <w:tblHeader w:val="0"/>
        </w:trPr>
        <w:tc>
          <w:tcPr>
            <w:shd w:fill="auto" w:val="clear"/>
            <w:tcMar>
              <w:top w:w="100.0" w:type="dxa"/>
              <w:left w:w="100.0" w:type="dxa"/>
              <w:bottom w:w="100.0" w:type="dxa"/>
              <w:right w:w="100.0" w:type="dxa"/>
            </w:tcMar>
            <w:vAlign w:val="top"/>
          </w:tcPr>
          <w:p>
            <w:r>
              <w:t>03</w:t>
            </w:r>
          </w:p>
        </w:tc>
        <w:tc>
          <w:tcPr>
            <w:shd w:fill="auto" w:val="clear"/>
            <w:tcMar>
              <w:top w:w="100.0" w:type="dxa"/>
              <w:left w:w="100.0" w:type="dxa"/>
              <w:bottom w:w="100.0" w:type="dxa"/>
              <w:right w:w="100.0" w:type="dxa"/>
            </w:tcMar>
            <w:vAlign w:val="top"/>
          </w:tcPr>
          <w:p>
            <w:r>
              <w:t>Literature Survey</w:t>
            </w:r>
          </w:p>
        </w:tc>
        <w:tc>
          <w:tcPr>
            <w:shd w:fill="auto" w:val="clear"/>
            <w:tcMar>
              <w:top w:w="100.0" w:type="dxa"/>
              <w:left w:w="100.0" w:type="dxa"/>
              <w:bottom w:w="100.0" w:type="dxa"/>
              <w:right w:w="100.0" w:type="dxa"/>
            </w:tcMar>
            <w:vAlign w:val="top"/>
          </w:tcPr>
          <w:p>
            <w:r>
              <w:t>4</w:t>
            </w:r>
          </w:p>
        </w:tc>
      </w:tr>
      <w:tr>
        <w:trPr>
          <w:cantSplit w:val="0"/>
          <w:tblHeader w:val="0"/>
        </w:trPr>
        <w:tc>
          <w:tcPr>
            <w:shd w:fill="auto" w:val="clear"/>
            <w:tcMar>
              <w:top w:w="100.0" w:type="dxa"/>
              <w:left w:w="100.0" w:type="dxa"/>
              <w:bottom w:w="100.0" w:type="dxa"/>
              <w:right w:w="100.0" w:type="dxa"/>
            </w:tcMar>
            <w:vAlign w:val="top"/>
          </w:tcPr>
          <w:p>
            <w:r>
              <w:t>04</w:t>
            </w:r>
          </w:p>
        </w:tc>
        <w:tc>
          <w:tcPr>
            <w:shd w:fill="auto" w:val="clear"/>
            <w:tcMar>
              <w:top w:w="100.0" w:type="dxa"/>
              <w:left w:w="100.0" w:type="dxa"/>
              <w:bottom w:w="100.0" w:type="dxa"/>
              <w:right w:w="100.0" w:type="dxa"/>
            </w:tcMar>
            <w:vAlign w:val="top"/>
          </w:tcPr>
          <w:p>
            <w:r>
              <w:t>Expected Outcome and Scope of the Project</w:t>
            </w:r>
          </w:p>
        </w:tc>
        <w:tc>
          <w:tcPr>
            <w:shd w:fill="auto" w:val="clear"/>
            <w:tcMar>
              <w:top w:w="100.0" w:type="dxa"/>
              <w:left w:w="100.0" w:type="dxa"/>
              <w:bottom w:w="100.0" w:type="dxa"/>
              <w:right w:w="100.0" w:type="dxa"/>
            </w:tcMar>
            <w:vAlign w:val="top"/>
          </w:tcPr>
          <w:p>
            <w:r>
              <w:t>5</w:t>
            </w:r>
          </w:p>
        </w:tc>
      </w:tr>
      <w:tr>
        <w:trPr>
          <w:cantSplit w:val="0"/>
          <w:trHeight w:val="569.5361328124999" w:hRule="atLeast"/>
          <w:tblHeader w:val="0"/>
        </w:trPr>
        <w:tc>
          <w:tcPr>
            <w:shd w:fill="auto" w:val="clear"/>
            <w:tcMar>
              <w:top w:w="100.0" w:type="dxa"/>
              <w:left w:w="100.0" w:type="dxa"/>
              <w:bottom w:w="100.0" w:type="dxa"/>
              <w:right w:w="100.0" w:type="dxa"/>
            </w:tcMar>
            <w:vAlign w:val="top"/>
          </w:tcPr>
          <w:p>
            <w:r>
              <w:t>05</w:t>
            </w:r>
          </w:p>
        </w:tc>
        <w:tc>
          <w:tcPr>
            <w:shd w:fill="auto" w:val="clear"/>
            <w:tcMar>
              <w:top w:w="100.0" w:type="dxa"/>
              <w:left w:w="100.0" w:type="dxa"/>
              <w:bottom w:w="100.0" w:type="dxa"/>
              <w:right w:w="100.0" w:type="dxa"/>
            </w:tcMar>
            <w:vAlign w:val="top"/>
          </w:tcPr>
          <w:p>
            <w:r>
              <w:t>Tentative Work Plan</w:t>
            </w:r>
          </w:p>
        </w:tc>
        <w:tc>
          <w:tcPr>
            <w:shd w:fill="auto" w:val="clear"/>
            <w:tcMar>
              <w:top w:w="100.0" w:type="dxa"/>
              <w:left w:w="100.0" w:type="dxa"/>
              <w:bottom w:w="100.0" w:type="dxa"/>
              <w:right w:w="100.0" w:type="dxa"/>
            </w:tcMar>
            <w:vAlign w:val="top"/>
          </w:tcPr>
          <w:p>
            <w:r>
              <w:t>6</w:t>
            </w:r>
          </w:p>
        </w:tc>
      </w:tr>
      <w:tr>
        <w:trPr>
          <w:cantSplit w:val="0"/>
          <w:tblHeader w:val="0"/>
        </w:trPr>
        <w:tc>
          <w:tcPr>
            <w:shd w:fill="auto" w:val="clear"/>
            <w:tcMar>
              <w:top w:w="100.0" w:type="dxa"/>
              <w:left w:w="100.0" w:type="dxa"/>
              <w:bottom w:w="100.0" w:type="dxa"/>
              <w:right w:w="100.0" w:type="dxa"/>
            </w:tcMar>
            <w:vAlign w:val="top"/>
          </w:tcPr>
          <w:p>
            <w:r>
              <w:t>06</w:t>
            </w:r>
          </w:p>
        </w:tc>
        <w:tc>
          <w:tcPr>
            <w:shd w:fill="auto" w:val="clear"/>
            <w:tcMar>
              <w:top w:w="100.0" w:type="dxa"/>
              <w:left w:w="100.0" w:type="dxa"/>
              <w:bottom w:w="100.0" w:type="dxa"/>
              <w:right w:w="100.0" w:type="dxa"/>
            </w:tcMar>
            <w:vAlign w:val="top"/>
          </w:tcPr>
          <w:p>
            <w:r>
              <w:t>Software and Hardware Required</w:t>
            </w:r>
          </w:p>
        </w:tc>
        <w:tc>
          <w:tcPr>
            <w:shd w:fill="auto" w:val="clear"/>
            <w:tcMar>
              <w:top w:w="100.0" w:type="dxa"/>
              <w:left w:w="100.0" w:type="dxa"/>
              <w:bottom w:w="100.0" w:type="dxa"/>
              <w:right w:w="100.0" w:type="dxa"/>
            </w:tcMar>
            <w:vAlign w:val="top"/>
          </w:tcPr>
          <w:p>
            <w:r>
              <w:t>7</w:t>
            </w:r>
          </w:p>
        </w:tc>
      </w:tr>
      <w:tr>
        <w:trPr>
          <w:cantSplit w:val="0"/>
          <w:tblHeader w:val="0"/>
        </w:trPr>
        <w:tc>
          <w:tcPr>
            <w:shd w:fill="auto" w:val="clear"/>
            <w:tcMar>
              <w:top w:w="100.0" w:type="dxa"/>
              <w:left w:w="100.0" w:type="dxa"/>
              <w:bottom w:w="100.0" w:type="dxa"/>
              <w:right w:w="100.0" w:type="dxa"/>
            </w:tcMar>
            <w:vAlign w:val="top"/>
          </w:tcPr>
          <w:p>
            <w:r>
              <w:t>07</w:t>
            </w:r>
          </w:p>
        </w:tc>
        <w:tc>
          <w:tcPr>
            <w:shd w:fill="auto" w:val="clear"/>
            <w:tcMar>
              <w:top w:w="100.0" w:type="dxa"/>
              <w:left w:w="100.0" w:type="dxa"/>
              <w:bottom w:w="100.0" w:type="dxa"/>
              <w:right w:w="100.0" w:type="dxa"/>
            </w:tcMar>
            <w:vAlign w:val="top"/>
          </w:tcPr>
          <w:p>
            <w:r>
              <w:t>References</w:t>
            </w:r>
          </w:p>
        </w:tc>
        <w:tc>
          <w:tcPr>
            <w:shd w:fill="auto" w:val="clear"/>
            <w:tcMar>
              <w:top w:w="100.0" w:type="dxa"/>
              <w:left w:w="100.0" w:type="dxa"/>
              <w:bottom w:w="100.0" w:type="dxa"/>
              <w:right w:w="100.0" w:type="dxa"/>
            </w:tcMar>
            <w:vAlign w:val="top"/>
          </w:tcPr>
          <w:p>
            <w:r>
              <w:t>8</w:t>
            </w:r>
          </w:p>
        </w:tc>
      </w:tr>
    </w:tbl>
    <w:p w:rsidR="00000000" w:rsidDel="00000000" w:rsidP="00000000" w:rsidRDefault="00000000" w:rsidRPr="00000000" w14:paraId="00000036">
      <w:pPr>
        <w:ind w:left="0" w:firstLine="0"/>
        <w:jc w:val="left"/>
        <w:rPr>
          <w:sz w:val="28"/>
          <w:szCs w:val="28"/>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left"/>
        <w:rPr>
          <w:b w:val="1"/>
          <w:bCs w:val="1"/>
        </w:rPr>
      </w:pP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rtl w:val="0"/>
        </w:rPr>
      </w:r>
    </w:p>
    <w:p w:rsidR="00000000" w:rsidDel="00000000" w:rsidP="00000000" w:rsidRDefault="00000000" w:rsidRPr="00000000" w14:paraId="00000040">
      <w:pPr>
        <w:jc w:val="cente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b w:val="1"/>
          <w:bCs w:val="1"/>
          <w:rtl w:val="0"/>
        </w:rPr>
        <w:t xml:space="preserve"> Student’s Signature</w:t>
        <w:tab/>
        <w:tab/>
        <w:tab/>
        <w:tab/>
        <w:tab/>
        <w:t xml:space="preserve">                            </w:t>
        <w:tab/>
        <w:tab/>
        <w:t xml:space="preserve">Guide’s Signature </w:t>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ind w:left="0" w:right="-690" w:firstLine="0"/>
        <w:jc w:val="left"/>
        <w:rPr>
          <w:b w:val="1"/>
          <w:bCs w:val="1"/>
        </w:rPr>
      </w:pPr>
      <w:r w:rsidDel="00000000" w:rsidR="00000000" w:rsidRPr="00000000">
        <w:rPr>
          <w:b w:val="1"/>
          <w:bCs w:val="1"/>
          <w:rtl w:val="0"/>
        </w:rPr>
        <w:t xml:space="preserve"> </w:t>
      </w:r>
      <w:r w:rsidDel="00000000" w:rsidR="00000000" w:rsidRPr="00000000">
        <w:rPr>
          <w:b w:val="1"/>
          <w:bCs w:val="1"/>
          <w:sz w:val="32"/>
          <w:szCs w:val="32"/>
          <w:rtl w:val="0"/>
        </w:rPr>
        <w:t xml:space="preserve">                                                                                           </w:t>
        <w:tab/>
        <w:tab/>
        <w:tab/>
      </w:r>
      <w:r w:rsidDel="00000000" w:rsidR="00000000" w:rsidRPr="00000000">
        <w:rPr>
          <w:b w:val="1"/>
          <w:bCs w:val="1"/>
          <w:rtl w:val="0"/>
        </w:rPr>
        <w:tab/>
        <w:tab/>
        <w:tab/>
      </w:r>
    </w:p>
    <w:p w:rsidR="00000000" w:rsidDel="00000000" w:rsidP="00000000" w:rsidRDefault="00000000" w:rsidRPr="00000000" w14:paraId="00000046">
      <w:pPr>
        <w:pStyle w:val="Heading1"/>
        <w:ind w:firstLine="286"/>
        <w:rPr/>
      </w:pPr>
      <w:r w:rsidDel="00000000" w:rsidR="00000000" w:rsidRPr="00000000">
        <w:rPr>
          <w:rtl w:val="0"/>
        </w:rPr>
      </w:r>
    </w:p>
    <w:p w:rsidR="00000000" w:rsidDel="00000000" w:rsidP="00000000" w:rsidRDefault="00000000" w:rsidRPr="00000000" w14:paraId="00000047">
      <w:pPr>
        <w:pStyle w:val="Heading1"/>
        <w:ind w:firstLine="286"/>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ind w:firstLine="286"/>
        <w:rPr/>
      </w:pPr>
      <w:r w:rsidDel="00000000" w:rsidR="00000000" w:rsidRPr="00000000">
        <w:rPr>
          <w:rtl w:val="0"/>
        </w:rPr>
      </w:r>
    </w:p>
    <w:p w:rsidR="00000000" w:rsidDel="00000000" w:rsidP="00000000" w:rsidRDefault="00000000" w:rsidRPr="00000000" w14:paraId="0000004F">
      <w:pPr>
        <w:pStyle w:val="Heading1"/>
        <w:ind w:firstLine="286"/>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ind w:firstLine="286"/>
        <w:rPr/>
      </w:pPr>
      <w:r w:rsidDel="00000000" w:rsidR="00000000" w:rsidRPr="00000000">
        <w:rPr>
          <w:rtl w:val="0"/>
        </w:rPr>
      </w:r>
    </w:p>
    <w:p>
      <w:pPr>
        <w:spacing w:before="0" w:after="180"/>
        <w:jc w:val="left"/>
      </w:pPr>
      <w:r>
        <w:rPr>
          <w:rFonts w:ascii="Times New Roman" w:hAnsi="Times New Roman"/>
          <w:b/>
          <w:sz w:val="30"/>
        </w:rPr>
        <w:t>1. INTRODUCTION</w:t>
      </w:r>
    </w:p>
    <w:p>
      <w:pPr>
        <w:spacing w:line="360" w:lineRule="auto" w:after="120"/>
        <w:jc w:val="both"/>
      </w:pPr>
      <w:r>
        <w:rPr>
          <w:rFonts w:ascii="Times New Roman" w:hAnsi="Times New Roman"/>
          <w:sz w:val="22"/>
        </w:rPr>
        <w:t>Cybersecurity monitoring begins with evidence. Web servers and operating systems continuously generate access and authentication logs, but a small laboratory may lack a simple method to inspect them, connect related events, and decide which activity needs attention first. SentinelTrace is a local defensive application designed for this need. It accepts authorised Apache style access logs and Linux SSH authentication logs, converts recognised lines into structured events, applies transparent rules, and displays a prioritised incident timeline for human review.</w:t>
      </w:r>
    </w:p>
    <w:p>
      <w:pPr>
        <w:spacing w:line="360" w:lineRule="auto" w:after="120"/>
        <w:jc w:val="both"/>
      </w:pPr>
      <w:r>
        <w:rPr>
          <w:rFonts w:ascii="Times New Roman" w:hAnsi="Times New Roman"/>
          <w:sz w:val="22"/>
        </w:rPr>
        <w:t>The project belongs to the cybersecurity and security operations domain. Its core purpose is log based threat triage: reducing a raw stream of records into a smaller set of explainable observations. The project does not scan targets, exploit weaknesses, execute command text, transmit logs to an external service, or conclude that an alert alone proves compromise. It is deliberately bounded as a local decision support prototype suitable for an academic mini project.</w:t>
      </w:r>
    </w:p>
    <w:p>
      <w:pPr>
        <w:spacing w:line="360" w:lineRule="auto" w:after="120"/>
        <w:jc w:val="both"/>
      </w:pPr>
      <w:r>
        <w:rPr>
          <w:rFonts w:ascii="Times New Roman" w:hAnsi="Times New Roman"/>
          <w:sz w:val="22"/>
        </w:rPr>
        <w:t>The proposed implementation uses Python 3 standard library components for the local HTTP server, parsing, correlation, hashing, and JSON responses. HTML, CSS, and JavaScript provide the browser dashboard. This technology selection keeps the system portable and makes every module practical to explain and modify during viva.</w:t>
      </w:r>
    </w:p>
    <w:p>
      <w:pPr>
        <w:spacing w:line="360" w:lineRule="auto" w:after="120"/>
        <w:jc w:val="both"/>
      </w:pPr>
      <w:r>
        <w:rPr>
          <w:rFonts w:ascii="Times New Roman" w:hAnsi="Times New Roman"/>
          <w:sz w:val="22"/>
        </w:rPr>
        <w:t>Important terms used in the project include an event, which is a normalised log record; a finding, which is a rule triggered by evidence; correlation, which groups related findings by source IP address; severity, which indicates priority; and confidence, which cautions the analyst about the strength of an indicator. MITRE ATT and CK technique identifiers are shown with findings to provide a common vocabulary for observed behaviour.</w:t>
      </w:r>
    </w:p>
    <w:p>
      <w:pPr>
        <w:spacing w:line="360" w:lineRule="auto" w:after="120"/>
        <w:jc w:val="both"/>
      </w:pPr>
      <w:r>
        <w:rPr>
          <w:rFonts w:ascii="Times New Roman" w:hAnsi="Times New Roman"/>
          <w:sz w:val="22"/>
        </w:rPr>
        <w:t>The architecture has four logical stages. First, parsers recognise the supported access and authentication formats. Second, an explainable rule catalogue identifies selected indicators such as repeated password failures or suspicious request paths. Third, a correlation layer calculates a transparent risk score for each source IP. Finally, the dashboard and JSON export present the evidence, rationale, recommendation, and known limitation for an analyst.</w:t>
      </w:r>
    </w:p>
    <w:p>
      <w:r>
        <w:br w:type="page"/>
      </w:r>
    </w:p>
    <w:p>
      <w:pPr>
        <w:spacing w:before="0" w:after="180"/>
        <w:jc w:val="left"/>
      </w:pPr>
      <w:r>
        <w:rPr>
          <w:rFonts w:ascii="Times New Roman" w:hAnsi="Times New Roman"/>
          <w:b/>
          <w:sz w:val="30"/>
        </w:rPr>
        <w:t>1. INTRODUCTION CONTINUED</w:t>
      </w:r>
    </w:p>
    <w:p>
      <w:pPr>
        <w:spacing w:line="360" w:lineRule="auto" w:after="120"/>
        <w:jc w:val="both"/>
      </w:pPr>
      <w:r>
        <w:rPr>
          <w:rFonts w:ascii="Times New Roman" w:hAnsi="Times New Roman"/>
          <w:sz w:val="22"/>
        </w:rPr>
        <w:t>Security log analysis is often the earliest practical way to observe password guessing, reconnaissance, or abnormal web requests. However, a single line rarely provides sufficient context. SentinelTrace therefore gives precedence to relationships between events. For example, five failed SSH passwords from one IP create a high severity brute force finding. A successful login after that same pattern creates a separate, higher priority correlation finding because the analyst may need to validate account ownership and session activity.</w:t>
      </w:r>
    </w:p>
    <w:p>
      <w:pPr>
        <w:spacing w:line="360" w:lineRule="auto" w:after="120"/>
        <w:jc w:val="both"/>
      </w:pPr>
      <w:r>
        <w:rPr>
          <w:rFonts w:ascii="Times New Roman" w:hAnsi="Times New Roman"/>
          <w:sz w:val="22"/>
        </w:rPr>
        <w:t>The rule based approach is intentional. Machine learning methods can be valuable when suitable labelled data, careful evaluation, and ongoing model governance are available. For an individual mini project, deterministic rules have clear advantages: they are reproducible, inspectable, and easy to modify. A student can demonstrate how one rule works, change its threshold, and explain the effect on risk scoring without hiding the decision behind an opaque model.</w:t>
      </w:r>
    </w:p>
    <w:p>
      <w:pPr>
        <w:spacing w:line="360" w:lineRule="auto" w:after="120" w:before="120"/>
        <w:jc w:val="both"/>
      </w:pPr>
      <w:r>
        <w:rPr>
          <w:rFonts w:ascii="Times New Roman" w:hAnsi="Times New Roman"/>
          <w:b/>
          <w:sz w:val="22"/>
        </w:rPr>
        <w:t xml:space="preserve">Table: </w:t>
      </w:r>
      <w:r>
        <w:rPr>
          <w:rFonts w:ascii="Times New Roman" w:hAnsi="Times New Roman"/>
          <w:sz w:val="22"/>
        </w:rPr>
        <w:t>Component details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892"/>
        <w:gridCol w:w="4892"/>
      </w:tblGrid>
      <w:tr>
        <w:tc>
          <w:tcPr>
            <w:tcW w:type="dxa" w:w="4892"/>
          </w:tcPr>
          <w:p>
            <w:r>
              <w:rPr>
                <w:rFonts w:ascii="Times New Roman" w:hAnsi="Times New Roman"/>
                <w:b/>
                <w:sz w:val="20"/>
              </w:rPr>
              <w:t>Component</w:t>
            </w:r>
          </w:p>
        </w:tc>
        <w:tc>
          <w:tcPr>
            <w:tcW w:type="dxa" w:w="4892"/>
          </w:tcPr>
          <w:p>
            <w:r>
              <w:rPr>
                <w:rFonts w:ascii="Times New Roman" w:hAnsi="Times New Roman"/>
                <w:b/>
                <w:sz w:val="20"/>
              </w:rPr>
              <w:t>Role in SentinelTrace</w:t>
            </w:r>
          </w:p>
        </w:tc>
      </w:tr>
      <w:tr>
        <w:tc>
          <w:tcPr>
            <w:tcW w:type="dxa" w:w="4892"/>
          </w:tcPr>
          <w:p>
            <w:pPr>
              <w:spacing w:line="276" w:lineRule="auto"/>
            </w:pPr>
            <w:r>
              <w:rPr>
                <w:rFonts w:ascii="Times New Roman" w:hAnsi="Times New Roman"/>
                <w:sz w:val="20"/>
              </w:rPr>
              <w:t>Parser</w:t>
            </w:r>
          </w:p>
        </w:tc>
        <w:tc>
          <w:tcPr>
            <w:tcW w:type="dxa" w:w="4892"/>
          </w:tcPr>
          <w:p>
            <w:pPr>
              <w:spacing w:line="276" w:lineRule="auto"/>
            </w:pPr>
            <w:r>
              <w:rPr>
                <w:rFonts w:ascii="Times New Roman" w:hAnsi="Times New Roman"/>
                <w:sz w:val="20"/>
              </w:rPr>
              <w:t>Recognises Apache style web requests and common SSH accepted or failed password lines.</w:t>
            </w:r>
          </w:p>
        </w:tc>
      </w:tr>
      <w:tr>
        <w:tc>
          <w:tcPr>
            <w:tcW w:type="dxa" w:w="4892"/>
          </w:tcPr>
          <w:p>
            <w:pPr>
              <w:spacing w:line="276" w:lineRule="auto"/>
            </w:pPr>
            <w:r>
              <w:rPr>
                <w:rFonts w:ascii="Times New Roman" w:hAnsi="Times New Roman"/>
                <w:sz w:val="20"/>
              </w:rPr>
              <w:t>Rule engine</w:t>
            </w:r>
          </w:p>
        </w:tc>
        <w:tc>
          <w:tcPr>
            <w:tcW w:type="dxa" w:w="4892"/>
          </w:tcPr>
          <w:p>
            <w:pPr>
              <w:spacing w:line="276" w:lineRule="auto"/>
            </w:pPr>
            <w:r>
              <w:rPr>
                <w:rFonts w:ascii="Times New Roman" w:hAnsi="Times New Roman"/>
                <w:sz w:val="20"/>
              </w:rPr>
              <w:t>Detects six bounded indicators and attaches severity, confidence, MITRE mapping, and response guidance.</w:t>
            </w:r>
          </w:p>
        </w:tc>
      </w:tr>
      <w:tr>
        <w:tc>
          <w:tcPr>
            <w:tcW w:type="dxa" w:w="4892"/>
          </w:tcPr>
          <w:p>
            <w:pPr>
              <w:spacing w:line="276" w:lineRule="auto"/>
            </w:pPr>
            <w:r>
              <w:rPr>
                <w:rFonts w:ascii="Times New Roman" w:hAnsi="Times New Roman"/>
                <w:sz w:val="20"/>
              </w:rPr>
              <w:t>Correlation layer</w:t>
            </w:r>
          </w:p>
        </w:tc>
        <w:tc>
          <w:tcPr>
            <w:tcW w:type="dxa" w:w="4892"/>
          </w:tcPr>
          <w:p>
            <w:pPr>
              <w:spacing w:line="276" w:lineRule="auto"/>
            </w:pPr>
            <w:r>
              <w:rPr>
                <w:rFonts w:ascii="Times New Roman" w:hAnsi="Times New Roman"/>
                <w:sz w:val="20"/>
              </w:rPr>
              <w:t>Groups findings by IP address and ranks entities using a capped weighted score.</w:t>
            </w:r>
          </w:p>
        </w:tc>
      </w:tr>
      <w:tr>
        <w:tc>
          <w:tcPr>
            <w:tcW w:type="dxa" w:w="4892"/>
          </w:tcPr>
          <w:p>
            <w:pPr>
              <w:spacing w:line="276" w:lineRule="auto"/>
            </w:pPr>
            <w:r>
              <w:rPr>
                <w:rFonts w:ascii="Times New Roman" w:hAnsi="Times New Roman"/>
                <w:sz w:val="20"/>
              </w:rPr>
              <w:t>Dashboard</w:t>
            </w:r>
          </w:p>
        </w:tc>
        <w:tc>
          <w:tcPr>
            <w:tcW w:type="dxa" w:w="4892"/>
          </w:tcPr>
          <w:p>
            <w:pPr>
              <w:spacing w:line="276" w:lineRule="auto"/>
            </w:pPr>
            <w:r>
              <w:rPr>
                <w:rFonts w:ascii="Times New Roman" w:hAnsi="Times New Roman"/>
                <w:sz w:val="20"/>
              </w:rPr>
              <w:t>Shows event count, findings, severity summary, entities, and chronological evidence.</w:t>
            </w:r>
          </w:p>
        </w:tc>
      </w:tr>
      <w:tr>
        <w:tc>
          <w:tcPr>
            <w:tcW w:type="dxa" w:w="4892"/>
          </w:tcPr>
          <w:p>
            <w:pPr>
              <w:spacing w:line="276" w:lineRule="auto"/>
            </w:pPr>
            <w:r>
              <w:rPr>
                <w:rFonts w:ascii="Times New Roman" w:hAnsi="Times New Roman"/>
                <w:sz w:val="20"/>
              </w:rPr>
              <w:t>JSON export</w:t>
            </w:r>
          </w:p>
        </w:tc>
        <w:tc>
          <w:tcPr>
            <w:tcW w:type="dxa" w:w="4892"/>
          </w:tcPr>
          <w:p>
            <w:pPr>
              <w:spacing w:line="276" w:lineRule="auto"/>
            </w:pPr>
            <w:r>
              <w:rPr>
                <w:rFonts w:ascii="Times New Roman" w:hAnsi="Times New Roman"/>
                <w:sz w:val="20"/>
              </w:rPr>
              <w:t>Creates a reproducible incident report for documentation and review.</w:t>
            </w:r>
          </w:p>
        </w:tc>
      </w:tr>
    </w:tbl>
    <w:p>
      <w:r>
        <w:br w:type="page"/>
      </w:r>
    </w:p>
    <w:p>
      <w:pPr>
        <w:spacing w:before="0" w:after="180"/>
        <w:jc w:val="left"/>
      </w:pPr>
      <w:r>
        <w:rPr>
          <w:rFonts w:ascii="Times New Roman" w:hAnsi="Times New Roman"/>
          <w:b/>
          <w:sz w:val="30"/>
        </w:rPr>
        <w:t>2. STATEMENT OF PROBLEM AND OBJECTIVES</w:t>
      </w:r>
    </w:p>
    <w:p>
      <w:pPr>
        <w:spacing w:line="360" w:lineRule="auto" w:after="120"/>
        <w:jc w:val="both"/>
      </w:pPr>
      <w:r>
        <w:rPr>
          <w:rFonts w:ascii="Times New Roman" w:hAnsi="Times New Roman"/>
          <w:sz w:val="22"/>
        </w:rPr>
        <w:t>Raw security logs are heterogeneous and high volume. Manual review can be slow, especially when related web and authentication events occur in different formats. Small educational or laboratory environments may not have a production SIEM, while generic scripts frequently produce alerts without evidence, correlation, confidence, or a clear recommended response. The problem is to provide a local, understandable, and safe mechanism that highlights selected indicators in authorised logs without overstating what those indicators mean.</w:t>
      </w:r>
    </w:p>
    <w:p>
      <w:pPr>
        <w:spacing w:line="360" w:lineRule="auto" w:after="120"/>
        <w:jc w:val="both"/>
      </w:pPr>
      <w:r>
        <w:rPr>
          <w:rFonts w:ascii="Times New Roman" w:hAnsi="Times New Roman"/>
          <w:sz w:val="22"/>
        </w:rPr>
        <w:t>The existing manual approach requires the analyst to read every line, remember source IP addresses, and connect repeated behaviour across sources. It can miss relationships, offers no consistent prioritisation, and is difficult to reproduce during a review. SentinelTrace addresses these limitations through deterministic processing and an analyst oriented interface.</w:t>
      </w:r>
    </w:p>
    <w:p>
      <w:pPr>
        <w:spacing w:line="360" w:lineRule="auto" w:after="120"/>
        <w:jc w:val="both"/>
      </w:pPr>
      <w:r>
        <w:rPr>
          <w:rFonts w:ascii="Times New Roman" w:hAnsi="Times New Roman"/>
          <w:sz w:val="22"/>
        </w:rPr>
        <w:t>The objectives of the project are:</w:t>
      </w:r>
    </w:p>
    <w:p>
      <w:pPr>
        <w:spacing w:after="60"/>
        <w:ind w:left="480" w:hanging="240"/>
      </w:pPr>
      <w:r>
        <w:rPr>
          <w:rFonts w:ascii="Times New Roman" w:hAnsi="Times New Roman"/>
          <w:sz w:val="22"/>
        </w:rPr>
        <w:t>• Parse supported Apache style access logs and Linux SSH authentication logs into normalised events.</w:t>
      </w:r>
    </w:p>
    <w:p>
      <w:pPr>
        <w:spacing w:after="60"/>
        <w:ind w:left="480" w:hanging="240"/>
      </w:pPr>
      <w:r>
        <w:rPr>
          <w:rFonts w:ascii="Times New Roman" w:hAnsi="Times New Roman"/>
          <w:sz w:val="22"/>
        </w:rPr>
        <w:t>• Detect at least six indicators: SSH brute force, successful login after repeated failures, path traversal, SQL injection indicators, command injection indicators, and web scanning.</w:t>
      </w:r>
    </w:p>
    <w:p>
      <w:pPr>
        <w:spacing w:after="60"/>
        <w:ind w:left="480" w:hanging="240"/>
      </w:pPr>
      <w:r>
        <w:rPr>
          <w:rFonts w:ascii="Times New Roman" w:hAnsi="Times New Roman"/>
          <w:sz w:val="22"/>
        </w:rPr>
        <w:t>• Attach evidence, severity, confidence, MITRE ATT and CK mapping, and a recommended analyst response to every finding.</w:t>
      </w:r>
    </w:p>
    <w:p>
      <w:pPr>
        <w:spacing w:after="60"/>
        <w:ind w:left="480" w:hanging="240"/>
      </w:pPr>
      <w:r>
        <w:rPr>
          <w:rFonts w:ascii="Times New Roman" w:hAnsi="Times New Roman"/>
          <w:sz w:val="22"/>
        </w:rPr>
        <w:t>• Correlate findings by source IP address and calculate an auditable risk score capped at 100.</w:t>
      </w:r>
    </w:p>
    <w:p>
      <w:pPr>
        <w:spacing w:after="60"/>
        <w:ind w:left="480" w:hanging="240"/>
      </w:pPr>
      <w:r>
        <w:rPr>
          <w:rFonts w:ascii="Times New Roman" w:hAnsi="Times New Roman"/>
          <w:sz w:val="22"/>
        </w:rPr>
        <w:t>• Display a prioritised dashboard and export a complete JSON incident report.</w:t>
      </w:r>
    </w:p>
    <w:p>
      <w:pPr>
        <w:spacing w:after="60"/>
        <w:ind w:left="480" w:hanging="240"/>
      </w:pPr>
      <w:r>
        <w:rPr>
          <w:rFonts w:ascii="Times New Roman" w:hAnsi="Times New Roman"/>
          <w:sz w:val="22"/>
        </w:rPr>
        <w:t>• Validate expected behaviour using synthetic, safe, and repeatable log data.</w:t>
      </w:r>
    </w:p>
    <w:p>
      <w:r>
        <w:br w:type="page"/>
      </w:r>
    </w:p>
    <w:p>
      <w:pPr>
        <w:spacing w:before="0" w:after="180"/>
        <w:jc w:val="left"/>
      </w:pPr>
      <w:r>
        <w:rPr>
          <w:rFonts w:ascii="Times New Roman" w:hAnsi="Times New Roman"/>
          <w:b/>
          <w:sz w:val="30"/>
        </w:rPr>
        <w:t>3. LITERATURE SURVEY</w:t>
      </w:r>
    </w:p>
    <w:p>
      <w:pPr>
        <w:spacing w:line="360" w:lineRule="auto" w:after="120"/>
        <w:jc w:val="both"/>
      </w:pPr>
      <w:r>
        <w:rPr>
          <w:rFonts w:ascii="Times New Roman" w:hAnsi="Times New Roman"/>
          <w:sz w:val="22"/>
        </w:rPr>
        <w:t>NIST Special Publication 800 92, Guide to Computer Security Log Management, establishes the importance of collection, analysis, retention, and protection of security log data. It supports the project decision to treat log records as operational evidence and to distinguish collection from meaningful review. SentinelTrace narrows this broad guidance to a local, educational triage workflow.</w:t>
      </w:r>
    </w:p>
    <w:p>
      <w:pPr>
        <w:spacing w:line="360" w:lineRule="auto" w:after="120"/>
        <w:jc w:val="both"/>
      </w:pPr>
      <w:r>
        <w:rPr>
          <w:rFonts w:ascii="Times New Roman" w:hAnsi="Times New Roman"/>
          <w:sz w:val="22"/>
        </w:rPr>
        <w:t>The OWASP Logging Cheat Sheet explains that application logs should support detection, investigation, and monitoring while being designed securely. Its guidance informs the project emphasis on evidence, source context, and safe handling. SentinelTrace does not create a complete application logging policy; instead, it consumes selected log output and presents suspicious patterns for review.</w:t>
      </w:r>
    </w:p>
    <w:p>
      <w:pPr>
        <w:spacing w:line="360" w:lineRule="auto" w:after="120"/>
        <w:jc w:val="both"/>
      </w:pPr>
      <w:r>
        <w:rPr>
          <w:rFonts w:ascii="Times New Roman" w:hAnsi="Times New Roman"/>
          <w:sz w:val="22"/>
        </w:rPr>
        <w:t>MITRE ATT and CK provides a shared knowledge base for adversary behaviours. The project maps password guessing to T1110.001, valid accounts to T1078, exploitation of public facing applications to T1190, command and scripting interpreter behaviour to T1059, and active scanning to T1595. These mappings help a reviewer discuss behaviour consistently but do not establish attribution or intent.</w:t>
      </w:r>
    </w:p>
    <w:p>
      <w:pPr>
        <w:spacing w:line="360" w:lineRule="auto" w:after="120"/>
        <w:jc w:val="both"/>
      </w:pPr>
      <w:r>
        <w:rPr>
          <w:rFonts w:ascii="Times New Roman" w:hAnsi="Times New Roman"/>
          <w:sz w:val="22"/>
        </w:rPr>
        <w:t>Existing enterprise SIEM products offer broad ingestion, storage, alerting, and correlation. They are useful in production but can be expensive, complex, and difficult to reproduce in a compact individual project. In contrast, basic single rule scripts are often transparent but lack a unified user interface and correlation. SentinelTrace occupies the middle ground: a small, local, explainable prototype with a bounded threat model.</w:t>
      </w:r>
    </w:p>
    <w:p>
      <w:pPr>
        <w:spacing w:line="360" w:lineRule="auto" w:after="120" w:before="120"/>
        <w:jc w:val="both"/>
      </w:pPr>
      <w:r>
        <w:rPr>
          <w:rFonts w:ascii="Times New Roman" w:hAnsi="Times New Roman"/>
          <w:b/>
          <w:sz w:val="22"/>
        </w:rPr>
        <w:t xml:space="preserve">Table: </w:t>
      </w:r>
      <w:r>
        <w:rPr>
          <w:rFonts w:ascii="Times New Roman" w:hAnsi="Times New Roman"/>
          <w:sz w:val="22"/>
        </w:rPr>
        <w:t>Source details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892"/>
        <w:gridCol w:w="4892"/>
      </w:tblGrid>
      <w:tr>
        <w:tc>
          <w:tcPr>
            <w:tcW w:type="dxa" w:w="4892"/>
          </w:tcPr>
          <w:p>
            <w:r>
              <w:rPr>
                <w:rFonts w:ascii="Times New Roman" w:hAnsi="Times New Roman"/>
                <w:b/>
                <w:sz w:val="20"/>
              </w:rPr>
              <w:t>Source</w:t>
            </w:r>
          </w:p>
        </w:tc>
        <w:tc>
          <w:tcPr>
            <w:tcW w:type="dxa" w:w="4892"/>
          </w:tcPr>
          <w:p>
            <w:r>
              <w:rPr>
                <w:rFonts w:ascii="Times New Roman" w:hAnsi="Times New Roman"/>
                <w:b/>
                <w:sz w:val="20"/>
              </w:rPr>
              <w:t>Relevance to the Project</w:t>
            </w:r>
          </w:p>
        </w:tc>
      </w:tr>
      <w:tr>
        <w:tc>
          <w:tcPr>
            <w:tcW w:type="dxa" w:w="4892"/>
          </w:tcPr>
          <w:p>
            <w:pPr>
              <w:spacing w:line="276" w:lineRule="auto"/>
            </w:pPr>
            <w:r>
              <w:rPr>
                <w:rFonts w:ascii="Times New Roman" w:hAnsi="Times New Roman"/>
                <w:sz w:val="20"/>
              </w:rPr>
              <w:t>NIST SP 800 92</w:t>
            </w:r>
          </w:p>
        </w:tc>
        <w:tc>
          <w:tcPr>
            <w:tcW w:type="dxa" w:w="4892"/>
          </w:tcPr>
          <w:p>
            <w:pPr>
              <w:spacing w:line="276" w:lineRule="auto"/>
            </w:pPr>
            <w:r>
              <w:rPr>
                <w:rFonts w:ascii="Times New Roman" w:hAnsi="Times New Roman"/>
                <w:sz w:val="20"/>
              </w:rPr>
              <w:t>Security log management principles and operational context.</w:t>
            </w:r>
          </w:p>
        </w:tc>
      </w:tr>
      <w:tr>
        <w:tc>
          <w:tcPr>
            <w:tcW w:type="dxa" w:w="4892"/>
          </w:tcPr>
          <w:p>
            <w:pPr>
              <w:spacing w:line="276" w:lineRule="auto"/>
            </w:pPr>
            <w:r>
              <w:rPr>
                <w:rFonts w:ascii="Times New Roman" w:hAnsi="Times New Roman"/>
                <w:sz w:val="20"/>
              </w:rPr>
              <w:t>OWASP Logging Cheat Sheet</w:t>
            </w:r>
          </w:p>
        </w:tc>
        <w:tc>
          <w:tcPr>
            <w:tcW w:type="dxa" w:w="4892"/>
          </w:tcPr>
          <w:p>
            <w:pPr>
              <w:spacing w:line="276" w:lineRule="auto"/>
            </w:pPr>
            <w:r>
              <w:rPr>
                <w:rFonts w:ascii="Times New Roman" w:hAnsi="Times New Roman"/>
                <w:sz w:val="20"/>
              </w:rPr>
              <w:t>Application logging, monitoring, and security considerations.</w:t>
            </w:r>
          </w:p>
        </w:tc>
      </w:tr>
      <w:tr>
        <w:tc>
          <w:tcPr>
            <w:tcW w:type="dxa" w:w="4892"/>
          </w:tcPr>
          <w:p>
            <w:pPr>
              <w:spacing w:line="276" w:lineRule="auto"/>
            </w:pPr>
            <w:r>
              <w:rPr>
                <w:rFonts w:ascii="Times New Roman" w:hAnsi="Times New Roman"/>
                <w:sz w:val="20"/>
              </w:rPr>
              <w:t>MITRE ATT and CK</w:t>
            </w:r>
          </w:p>
        </w:tc>
        <w:tc>
          <w:tcPr>
            <w:tcW w:type="dxa" w:w="4892"/>
          </w:tcPr>
          <w:p>
            <w:pPr>
              <w:spacing w:line="276" w:lineRule="auto"/>
            </w:pPr>
            <w:r>
              <w:rPr>
                <w:rFonts w:ascii="Times New Roman" w:hAnsi="Times New Roman"/>
                <w:sz w:val="20"/>
              </w:rPr>
              <w:t>Common terminology for the selected behavioural indicators.</w:t>
            </w:r>
          </w:p>
        </w:tc>
      </w:tr>
      <w:tr>
        <w:tc>
          <w:tcPr>
            <w:tcW w:type="dxa" w:w="4892"/>
          </w:tcPr>
          <w:p>
            <w:pPr>
              <w:spacing w:line="276" w:lineRule="auto"/>
            </w:pPr>
            <w:r>
              <w:rPr>
                <w:rFonts w:ascii="Times New Roman" w:hAnsi="Times New Roman"/>
                <w:sz w:val="20"/>
              </w:rPr>
              <w:t>OWASP SQL Injection Prevention Cheat Sheet</w:t>
            </w:r>
          </w:p>
        </w:tc>
        <w:tc>
          <w:tcPr>
            <w:tcW w:type="dxa" w:w="4892"/>
          </w:tcPr>
          <w:p>
            <w:pPr>
              <w:spacing w:line="276" w:lineRule="auto"/>
            </w:pPr>
            <w:r>
              <w:rPr>
                <w:rFonts w:ascii="Times New Roman" w:hAnsi="Times New Roman"/>
                <w:sz w:val="20"/>
              </w:rPr>
              <w:t>Context for treating suspicious query content as an indicator, not proof.</w:t>
            </w:r>
          </w:p>
        </w:tc>
      </w:tr>
    </w:tbl>
    <w:p>
      <w:r>
        <w:br w:type="page"/>
      </w:r>
    </w:p>
    <w:p>
      <w:pPr>
        <w:spacing w:before="0" w:after="180"/>
        <w:jc w:val="left"/>
      </w:pPr>
      <w:r>
        <w:rPr>
          <w:rFonts w:ascii="Times New Roman" w:hAnsi="Times New Roman"/>
          <w:b/>
          <w:sz w:val="30"/>
        </w:rPr>
        <w:t>4. EXPECTED OUTCOME AND SCOPE OF THE PROJECT</w:t>
      </w:r>
    </w:p>
    <w:p>
      <w:pPr>
        <w:spacing w:line="360" w:lineRule="auto" w:after="120"/>
        <w:jc w:val="both"/>
      </w:pPr>
      <w:r>
        <w:rPr>
          <w:rFonts w:ascii="Times New Roman" w:hAnsi="Times New Roman"/>
          <w:sz w:val="22"/>
        </w:rPr>
        <w:t>The expected outcome is a working local dashboard that accepts authorised text logs, parses recognised events, detects six selected rule categories, prioritises source IP addresses, and displays an explainable timeline. The dashboard will show the rule, evidence, severity, confidence, MITRE identifier, source line, and recommended response. It will also download a JSON incident report that preserves the result and the system limitations.</w:t>
      </w:r>
    </w:p>
    <w:p>
      <w:pPr>
        <w:spacing w:line="360" w:lineRule="auto" w:after="120"/>
        <w:jc w:val="both"/>
      </w:pPr>
      <w:r>
        <w:rPr>
          <w:rFonts w:ascii="Times New Roman" w:hAnsi="Times New Roman"/>
          <w:sz w:val="22"/>
        </w:rPr>
        <w:t>The intended users are students, faculty reviewers, and junior analysts working with safe laboratory logs. Practical use includes explaining how a threat triage workflow moves from raw log text to a review queue. The included synthetic demo corpus allows repeatable demonstration without exposing personal data or attacking any system.</w:t>
      </w:r>
    </w:p>
    <w:p>
      <w:pPr>
        <w:spacing w:line="360" w:lineRule="auto" w:after="120"/>
        <w:jc w:val="both"/>
      </w:pPr>
      <w:r>
        <w:rPr>
          <w:rFonts w:ascii="Times New Roman" w:hAnsi="Times New Roman"/>
          <w:sz w:val="22"/>
        </w:rPr>
        <w:t>The scope is limited to two documented log patterns and a small rule catalogue. It is not a production SIEM, an endpoint protection tool, a vulnerability scanner, or an automated containment system. A finding remains a prompt for analyst validation. This boundary is central to the project ethics and prevents the prototype from being misrepresented.</w:t>
      </w:r>
    </w:p>
    <w:p>
      <w:pPr>
        <w:spacing w:line="360" w:lineRule="auto" w:after="120"/>
        <w:jc w:val="both"/>
      </w:pPr>
      <w:r>
        <w:rPr>
          <w:rFonts w:ascii="Times New Roman" w:hAnsi="Times New Roman"/>
          <w:sz w:val="22"/>
        </w:rPr>
        <w:t>Future extensions may include timestamp normalisation and sliding windows, encrypted case storage, role based authentication, structured JSON log ingestion, Sigma rule import, and carefully evaluated anomaly detection with a public labelled dataset. These extensions are not represented as completed features in the current prototype.</w:t>
      </w:r>
    </w:p>
    <w:p>
      <w:r>
        <w:br w:type="page"/>
      </w:r>
    </w:p>
    <w:p>
      <w:pPr>
        <w:spacing w:before="0" w:after="180"/>
        <w:jc w:val="left"/>
      </w:pPr>
      <w:r>
        <w:rPr>
          <w:rFonts w:ascii="Times New Roman" w:hAnsi="Times New Roman"/>
          <w:b/>
          <w:sz w:val="30"/>
        </w:rPr>
        <w:t>5. TENTATIVE WORK PLAN</w:t>
      </w:r>
    </w:p>
    <w:p>
      <w:pPr>
        <w:spacing w:line="360" w:lineRule="auto" w:after="120"/>
        <w:jc w:val="both"/>
      </w:pPr>
      <w:r>
        <w:rPr>
          <w:rFonts w:ascii="Times New Roman" w:hAnsi="Times New Roman"/>
          <w:sz w:val="22"/>
        </w:rPr>
        <w:t>The project follows the required ten week cycle. Each week has a visible deliverable so that progress can be demonstrated, documented, and reviewed by the mentor.</w:t>
      </w:r>
    </w:p>
    <w:p>
      <w:pPr>
        <w:spacing w:line="360" w:lineRule="auto" w:after="120" w:before="120"/>
        <w:jc w:val="both"/>
      </w:pPr>
      <w:r>
        <w:rPr>
          <w:rFonts w:ascii="Times New Roman" w:hAnsi="Times New Roman"/>
          <w:b/>
          <w:sz w:val="22"/>
        </w:rPr>
        <w:t xml:space="preserve">Table: </w:t>
      </w:r>
      <w:r>
        <w:rPr>
          <w:rFonts w:ascii="Times New Roman" w:hAnsi="Times New Roman"/>
          <w:sz w:val="22"/>
        </w:rPr>
        <w:t>Week details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261"/>
        <w:gridCol w:w="3261"/>
        <w:gridCol w:w="3261"/>
      </w:tblGrid>
      <w:tr>
        <w:tc>
          <w:tcPr>
            <w:tcW w:type="dxa" w:w="3261"/>
          </w:tcPr>
          <w:p>
            <w:r>
              <w:rPr>
                <w:rFonts w:ascii="Times New Roman" w:hAnsi="Times New Roman"/>
                <w:b/>
                <w:sz w:val="20"/>
              </w:rPr>
              <w:t>Week</w:t>
            </w:r>
          </w:p>
        </w:tc>
        <w:tc>
          <w:tcPr>
            <w:tcW w:type="dxa" w:w="3261"/>
          </w:tcPr>
          <w:p>
            <w:r>
              <w:rPr>
                <w:rFonts w:ascii="Times New Roman" w:hAnsi="Times New Roman"/>
                <w:b/>
                <w:sz w:val="20"/>
              </w:rPr>
              <w:t>Major Activity</w:t>
            </w:r>
          </w:p>
        </w:tc>
        <w:tc>
          <w:tcPr>
            <w:tcW w:type="dxa" w:w="3261"/>
          </w:tcPr>
          <w:p>
            <w:r>
              <w:rPr>
                <w:rFonts w:ascii="Times New Roman" w:hAnsi="Times New Roman"/>
                <w:b/>
                <w:sz w:val="20"/>
              </w:rPr>
              <w:t>Deliverable</w:t>
            </w:r>
          </w:p>
        </w:tc>
      </w:tr>
      <w:tr>
        <w:tc>
          <w:tcPr>
            <w:tcW w:type="dxa" w:w="3261"/>
          </w:tcPr>
          <w:p>
            <w:pPr>
              <w:spacing w:line="276" w:lineRule="auto"/>
            </w:pPr>
            <w:r>
              <w:rPr>
                <w:rFonts w:ascii="Times New Roman" w:hAnsi="Times New Roman"/>
                <w:sz w:val="20"/>
              </w:rPr>
              <w:t>1</w:t>
            </w:r>
          </w:p>
        </w:tc>
        <w:tc>
          <w:tcPr>
            <w:tcW w:type="dxa" w:w="3261"/>
          </w:tcPr>
          <w:p>
            <w:pPr>
              <w:spacing w:line="276" w:lineRule="auto"/>
            </w:pPr>
            <w:r>
              <w:rPr>
                <w:rFonts w:ascii="Times New Roman" w:hAnsi="Times New Roman"/>
                <w:sz w:val="20"/>
              </w:rPr>
              <w:t>Domain finalisation and title options</w:t>
            </w:r>
          </w:p>
        </w:tc>
        <w:tc>
          <w:tcPr>
            <w:tcW w:type="dxa" w:w="3261"/>
          </w:tcPr>
          <w:p>
            <w:pPr>
              <w:spacing w:line="276" w:lineRule="auto"/>
            </w:pPr>
            <w:r>
              <w:rPr>
                <w:rFonts w:ascii="Times New Roman" w:hAnsi="Times New Roman"/>
                <w:sz w:val="20"/>
              </w:rPr>
              <w:t>Feasibility notes and title alternatives</w:t>
            </w:r>
          </w:p>
        </w:tc>
      </w:tr>
      <w:tr>
        <w:tc>
          <w:tcPr>
            <w:tcW w:type="dxa" w:w="3261"/>
          </w:tcPr>
          <w:p>
            <w:pPr>
              <w:spacing w:line="276" w:lineRule="auto"/>
            </w:pPr>
            <w:r>
              <w:rPr>
                <w:rFonts w:ascii="Times New Roman" w:hAnsi="Times New Roman"/>
                <w:sz w:val="20"/>
              </w:rPr>
              <w:t>2</w:t>
            </w:r>
          </w:p>
        </w:tc>
        <w:tc>
          <w:tcPr>
            <w:tcW w:type="dxa" w:w="3261"/>
          </w:tcPr>
          <w:p>
            <w:pPr>
              <w:spacing w:line="276" w:lineRule="auto"/>
            </w:pPr>
            <w:r>
              <w:rPr>
                <w:rFonts w:ascii="Times New Roman" w:hAnsi="Times New Roman"/>
                <w:sz w:val="20"/>
              </w:rPr>
              <w:t>Synopsis preparation</w:t>
            </w:r>
          </w:p>
        </w:tc>
        <w:tc>
          <w:tcPr>
            <w:tcW w:type="dxa" w:w="3261"/>
          </w:tcPr>
          <w:p>
            <w:pPr>
              <w:spacing w:line="276" w:lineRule="auto"/>
            </w:pPr>
            <w:r>
              <w:rPr>
                <w:rFonts w:ascii="Times New Roman" w:hAnsi="Times New Roman"/>
                <w:sz w:val="20"/>
              </w:rPr>
              <w:t>Synopsis and initial references</w:t>
            </w:r>
          </w:p>
        </w:tc>
      </w:tr>
      <w:tr>
        <w:tc>
          <w:tcPr>
            <w:tcW w:type="dxa" w:w="3261"/>
          </w:tcPr>
          <w:p>
            <w:pPr>
              <w:spacing w:line="276" w:lineRule="auto"/>
            </w:pPr>
            <w:r>
              <w:rPr>
                <w:rFonts w:ascii="Times New Roman" w:hAnsi="Times New Roman"/>
                <w:sz w:val="20"/>
              </w:rPr>
              <w:t>3</w:t>
            </w:r>
          </w:p>
        </w:tc>
        <w:tc>
          <w:tcPr>
            <w:tcW w:type="dxa" w:w="3261"/>
          </w:tcPr>
          <w:p>
            <w:pPr>
              <w:spacing w:line="276" w:lineRule="auto"/>
            </w:pPr>
            <w:r>
              <w:rPr>
                <w:rFonts w:ascii="Times New Roman" w:hAnsi="Times New Roman"/>
                <w:sz w:val="20"/>
              </w:rPr>
              <w:t>Mentor review and approval</w:t>
            </w:r>
          </w:p>
        </w:tc>
        <w:tc>
          <w:tcPr>
            <w:tcW w:type="dxa" w:w="3261"/>
          </w:tcPr>
          <w:p>
            <w:pPr>
              <w:spacing w:line="276" w:lineRule="auto"/>
            </w:pPr>
            <w:r>
              <w:rPr>
                <w:rFonts w:ascii="Times New Roman" w:hAnsi="Times New Roman"/>
                <w:sz w:val="20"/>
              </w:rPr>
              <w:t>Approved title and revised scope</w:t>
            </w:r>
          </w:p>
        </w:tc>
      </w:tr>
      <w:tr>
        <w:tc>
          <w:tcPr>
            <w:tcW w:type="dxa" w:w="3261"/>
          </w:tcPr>
          <w:p>
            <w:pPr>
              <w:spacing w:line="276" w:lineRule="auto"/>
            </w:pPr>
            <w:r>
              <w:rPr>
                <w:rFonts w:ascii="Times New Roman" w:hAnsi="Times New Roman"/>
                <w:sz w:val="20"/>
              </w:rPr>
              <w:t>4</w:t>
            </w:r>
          </w:p>
        </w:tc>
        <w:tc>
          <w:tcPr>
            <w:tcW w:type="dxa" w:w="3261"/>
          </w:tcPr>
          <w:p>
            <w:pPr>
              <w:spacing w:line="276" w:lineRule="auto"/>
            </w:pPr>
            <w:r>
              <w:rPr>
                <w:rFonts w:ascii="Times New Roman" w:hAnsi="Times New Roman"/>
                <w:sz w:val="20"/>
              </w:rPr>
              <w:t>Requirements and system design</w:t>
            </w:r>
          </w:p>
        </w:tc>
        <w:tc>
          <w:tcPr>
            <w:tcW w:type="dxa" w:w="3261"/>
          </w:tcPr>
          <w:p>
            <w:pPr>
              <w:spacing w:line="276" w:lineRule="auto"/>
            </w:pPr>
            <w:r>
              <w:rPr>
                <w:rFonts w:ascii="Times New Roman" w:hAnsi="Times New Roman"/>
                <w:sz w:val="20"/>
              </w:rPr>
              <w:t>Architecture, data model, rule catalogue</w:t>
            </w:r>
          </w:p>
        </w:tc>
      </w:tr>
      <w:tr>
        <w:tc>
          <w:tcPr>
            <w:tcW w:type="dxa" w:w="3261"/>
          </w:tcPr>
          <w:p>
            <w:pPr>
              <w:spacing w:line="276" w:lineRule="auto"/>
            </w:pPr>
            <w:r>
              <w:rPr>
                <w:rFonts w:ascii="Times New Roman" w:hAnsi="Times New Roman"/>
                <w:sz w:val="20"/>
              </w:rPr>
              <w:t>5</w:t>
            </w:r>
          </w:p>
        </w:tc>
        <w:tc>
          <w:tcPr>
            <w:tcW w:type="dxa" w:w="3261"/>
          </w:tcPr>
          <w:p>
            <w:pPr>
              <w:spacing w:line="276" w:lineRule="auto"/>
            </w:pPr>
            <w:r>
              <w:rPr>
                <w:rFonts w:ascii="Times New Roman" w:hAnsi="Times New Roman"/>
                <w:sz w:val="20"/>
              </w:rPr>
              <w:t>Implementation phase one</w:t>
            </w:r>
          </w:p>
        </w:tc>
        <w:tc>
          <w:tcPr>
            <w:tcW w:type="dxa" w:w="3261"/>
          </w:tcPr>
          <w:p>
            <w:pPr>
              <w:spacing w:line="276" w:lineRule="auto"/>
            </w:pPr>
            <w:r>
              <w:rPr>
                <w:rFonts w:ascii="Times New Roman" w:hAnsi="Times New Roman"/>
                <w:sz w:val="20"/>
              </w:rPr>
              <w:t>Log parser and initial rules</w:t>
            </w:r>
          </w:p>
        </w:tc>
      </w:tr>
      <w:tr>
        <w:tc>
          <w:tcPr>
            <w:tcW w:type="dxa" w:w="3261"/>
          </w:tcPr>
          <w:p>
            <w:pPr>
              <w:spacing w:line="276" w:lineRule="auto"/>
            </w:pPr>
            <w:r>
              <w:rPr>
                <w:rFonts w:ascii="Times New Roman" w:hAnsi="Times New Roman"/>
                <w:sz w:val="20"/>
              </w:rPr>
              <w:t>6</w:t>
            </w:r>
          </w:p>
        </w:tc>
        <w:tc>
          <w:tcPr>
            <w:tcW w:type="dxa" w:w="3261"/>
          </w:tcPr>
          <w:p>
            <w:pPr>
              <w:spacing w:line="276" w:lineRule="auto"/>
            </w:pPr>
            <w:r>
              <w:rPr>
                <w:rFonts w:ascii="Times New Roman" w:hAnsi="Times New Roman"/>
                <w:sz w:val="20"/>
              </w:rPr>
              <w:t>Midterm review</w:t>
            </w:r>
          </w:p>
        </w:tc>
        <w:tc>
          <w:tcPr>
            <w:tcW w:type="dxa" w:w="3261"/>
          </w:tcPr>
          <w:p>
            <w:pPr>
              <w:spacing w:line="276" w:lineRule="auto"/>
            </w:pPr>
            <w:r>
              <w:rPr>
                <w:rFonts w:ascii="Times New Roman" w:hAnsi="Times New Roman"/>
                <w:sz w:val="20"/>
              </w:rPr>
              <w:t>At least 30 percent working demonstration</w:t>
            </w:r>
          </w:p>
        </w:tc>
      </w:tr>
      <w:tr>
        <w:tc>
          <w:tcPr>
            <w:tcW w:type="dxa" w:w="3261"/>
          </w:tcPr>
          <w:p>
            <w:pPr>
              <w:spacing w:line="276" w:lineRule="auto"/>
            </w:pPr>
            <w:r>
              <w:rPr>
                <w:rFonts w:ascii="Times New Roman" w:hAnsi="Times New Roman"/>
                <w:sz w:val="20"/>
              </w:rPr>
              <w:t>7</w:t>
            </w:r>
          </w:p>
        </w:tc>
        <w:tc>
          <w:tcPr>
            <w:tcW w:type="dxa" w:w="3261"/>
          </w:tcPr>
          <w:p>
            <w:pPr>
              <w:spacing w:line="276" w:lineRule="auto"/>
            </w:pPr>
            <w:r>
              <w:rPr>
                <w:rFonts w:ascii="Times New Roman" w:hAnsi="Times New Roman"/>
                <w:sz w:val="20"/>
              </w:rPr>
              <w:t>Implementation phase two</w:t>
            </w:r>
          </w:p>
        </w:tc>
        <w:tc>
          <w:tcPr>
            <w:tcW w:type="dxa" w:w="3261"/>
          </w:tcPr>
          <w:p>
            <w:pPr>
              <w:spacing w:line="276" w:lineRule="auto"/>
            </w:pPr>
            <w:r>
              <w:rPr>
                <w:rFonts w:ascii="Times New Roman" w:hAnsi="Times New Roman"/>
                <w:sz w:val="20"/>
              </w:rPr>
              <w:t>Correlation, risk scoring, explainability, export</w:t>
            </w:r>
          </w:p>
        </w:tc>
      </w:tr>
      <w:tr>
        <w:tc>
          <w:tcPr>
            <w:tcW w:type="dxa" w:w="3261"/>
          </w:tcPr>
          <w:p>
            <w:pPr>
              <w:spacing w:line="276" w:lineRule="auto"/>
            </w:pPr>
            <w:r>
              <w:rPr>
                <w:rFonts w:ascii="Times New Roman" w:hAnsi="Times New Roman"/>
                <w:sz w:val="20"/>
              </w:rPr>
              <w:t>8</w:t>
            </w:r>
          </w:p>
        </w:tc>
        <w:tc>
          <w:tcPr>
            <w:tcW w:type="dxa" w:w="3261"/>
          </w:tcPr>
          <w:p>
            <w:pPr>
              <w:spacing w:line="276" w:lineRule="auto"/>
            </w:pPr>
            <w:r>
              <w:rPr>
                <w:rFonts w:ascii="Times New Roman" w:hAnsi="Times New Roman"/>
                <w:sz w:val="20"/>
              </w:rPr>
              <w:t>Integration and testing</w:t>
            </w:r>
          </w:p>
        </w:tc>
        <w:tc>
          <w:tcPr>
            <w:tcW w:type="dxa" w:w="3261"/>
          </w:tcPr>
          <w:p>
            <w:pPr>
              <w:spacing w:line="276" w:lineRule="auto"/>
            </w:pPr>
            <w:r>
              <w:rPr>
                <w:rFonts w:ascii="Times New Roman" w:hAnsi="Times New Roman"/>
                <w:sz w:val="20"/>
              </w:rPr>
              <w:t>Functional tests and corrections</w:t>
            </w:r>
          </w:p>
        </w:tc>
      </w:tr>
      <w:tr>
        <w:tc>
          <w:tcPr>
            <w:tcW w:type="dxa" w:w="3261"/>
          </w:tcPr>
          <w:p>
            <w:pPr>
              <w:spacing w:line="276" w:lineRule="auto"/>
            </w:pPr>
            <w:r>
              <w:rPr>
                <w:rFonts w:ascii="Times New Roman" w:hAnsi="Times New Roman"/>
                <w:sz w:val="20"/>
              </w:rPr>
              <w:t>9</w:t>
            </w:r>
          </w:p>
        </w:tc>
        <w:tc>
          <w:tcPr>
            <w:tcW w:type="dxa" w:w="3261"/>
          </w:tcPr>
          <w:p>
            <w:pPr>
              <w:spacing w:line="276" w:lineRule="auto"/>
            </w:pPr>
            <w:r>
              <w:rPr>
                <w:rFonts w:ascii="Times New Roman" w:hAnsi="Times New Roman"/>
                <w:sz w:val="20"/>
              </w:rPr>
              <w:t>Report preparation</w:t>
            </w:r>
          </w:p>
        </w:tc>
        <w:tc>
          <w:tcPr>
            <w:tcW w:type="dxa" w:w="3261"/>
          </w:tcPr>
          <w:p>
            <w:pPr>
              <w:spacing w:line="276" w:lineRule="auto"/>
            </w:pPr>
            <w:r>
              <w:rPr>
                <w:rFonts w:ascii="Times New Roman" w:hAnsi="Times New Roman"/>
                <w:sz w:val="20"/>
              </w:rPr>
              <w:t>Draft report, screenshots, plagiarism review</w:t>
            </w:r>
          </w:p>
        </w:tc>
      </w:tr>
      <w:tr>
        <w:tc>
          <w:tcPr>
            <w:tcW w:type="dxa" w:w="3261"/>
          </w:tcPr>
          <w:p>
            <w:pPr>
              <w:spacing w:line="276" w:lineRule="auto"/>
            </w:pPr>
            <w:r>
              <w:rPr>
                <w:rFonts w:ascii="Times New Roman" w:hAnsi="Times New Roman"/>
                <w:sz w:val="20"/>
              </w:rPr>
              <w:t>10</w:t>
            </w:r>
          </w:p>
        </w:tc>
        <w:tc>
          <w:tcPr>
            <w:tcW w:type="dxa" w:w="3261"/>
          </w:tcPr>
          <w:p>
            <w:pPr>
              <w:spacing w:line="276" w:lineRule="auto"/>
            </w:pPr>
            <w:r>
              <w:rPr>
                <w:rFonts w:ascii="Times New Roman" w:hAnsi="Times New Roman"/>
                <w:sz w:val="20"/>
              </w:rPr>
              <w:t>Final submission and viva</w:t>
            </w:r>
          </w:p>
        </w:tc>
        <w:tc>
          <w:tcPr>
            <w:tcW w:type="dxa" w:w="3261"/>
          </w:tcPr>
          <w:p>
            <w:pPr>
              <w:spacing w:line="276" w:lineRule="auto"/>
            </w:pPr>
            <w:r>
              <w:rPr>
                <w:rFonts w:ascii="Times New Roman" w:hAnsi="Times New Roman"/>
                <w:sz w:val="20"/>
              </w:rPr>
              <w:t>Source code, final report, presentation, viva</w:t>
            </w:r>
          </w:p>
        </w:tc>
      </w:tr>
    </w:tbl>
    <w:p>
      <w:pPr>
        <w:spacing w:line="360" w:lineRule="auto" w:after="120"/>
        <w:jc w:val="both"/>
      </w:pPr>
      <w:r>
        <w:rPr>
          <w:rFonts w:ascii="Times New Roman" w:hAnsi="Times New Roman"/>
          <w:sz w:val="22"/>
        </w:rPr>
        <w:t>Weekly work will be recorded in the student logbook with the date, completed tasks, issues faced, and mentor remarks. Any change to the approved scope will be discussed before implementation so that the final system remains feasible within the timeline.</w:t>
      </w:r>
    </w:p>
    <w:p>
      <w:r>
        <w:br w:type="page"/>
      </w:r>
    </w:p>
    <w:p>
      <w:pPr>
        <w:spacing w:before="0" w:after="180"/>
        <w:jc w:val="left"/>
      </w:pPr>
      <w:r>
        <w:rPr>
          <w:rFonts w:ascii="Times New Roman" w:hAnsi="Times New Roman"/>
          <w:b/>
          <w:sz w:val="30"/>
        </w:rPr>
        <w:t>6. SOFTWARE AND HARDWARE REQUIRED</w:t>
      </w:r>
    </w:p>
    <w:p>
      <w:pPr>
        <w:spacing w:line="360" w:lineRule="auto" w:after="120"/>
        <w:jc w:val="both"/>
      </w:pPr>
      <w:r>
        <w:rPr>
          <w:rFonts w:ascii="Times New Roman" w:hAnsi="Times New Roman"/>
          <w:sz w:val="22"/>
        </w:rPr>
        <w:t>The project is intentionally lightweight and can be developed on a standard student laptop. The application uses only local resources and does not require paid cloud infrastructure, a database server, or specialised hardware.</w:t>
      </w:r>
    </w:p>
    <w:p>
      <w:pPr>
        <w:spacing w:line="360" w:lineRule="auto" w:after="120" w:before="120"/>
        <w:jc w:val="both"/>
      </w:pPr>
      <w:r>
        <w:rPr>
          <w:rFonts w:ascii="Times New Roman" w:hAnsi="Times New Roman"/>
          <w:b/>
          <w:sz w:val="22"/>
        </w:rPr>
        <w:t xml:space="preserve">Table: </w:t>
      </w:r>
      <w:r>
        <w:rPr>
          <w:rFonts w:ascii="Times New Roman" w:hAnsi="Times New Roman"/>
          <w:sz w:val="22"/>
        </w:rPr>
        <w:t>Category details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261"/>
        <w:gridCol w:w="3261"/>
        <w:gridCol w:w="3261"/>
      </w:tblGrid>
      <w:tr>
        <w:tc>
          <w:tcPr>
            <w:tcW w:type="dxa" w:w="3261"/>
          </w:tcPr>
          <w:p>
            <w:r>
              <w:rPr>
                <w:rFonts w:ascii="Times New Roman" w:hAnsi="Times New Roman"/>
                <w:b/>
                <w:sz w:val="20"/>
              </w:rPr>
              <w:t>Category</w:t>
            </w:r>
          </w:p>
        </w:tc>
        <w:tc>
          <w:tcPr>
            <w:tcW w:type="dxa" w:w="3261"/>
          </w:tcPr>
          <w:p>
            <w:r>
              <w:rPr>
                <w:rFonts w:ascii="Times New Roman" w:hAnsi="Times New Roman"/>
                <w:b/>
                <w:sz w:val="20"/>
              </w:rPr>
              <w:t>Requirement</w:t>
            </w:r>
          </w:p>
        </w:tc>
        <w:tc>
          <w:tcPr>
            <w:tcW w:type="dxa" w:w="3261"/>
          </w:tcPr>
          <w:p>
            <w:r>
              <w:rPr>
                <w:rFonts w:ascii="Times New Roman" w:hAnsi="Times New Roman"/>
                <w:b/>
                <w:sz w:val="20"/>
              </w:rPr>
              <w:t>Purpose</w:t>
            </w:r>
          </w:p>
        </w:tc>
      </w:tr>
      <w:tr>
        <w:tc>
          <w:tcPr>
            <w:tcW w:type="dxa" w:w="3261"/>
          </w:tcPr>
          <w:p>
            <w:pPr>
              <w:spacing w:line="276" w:lineRule="auto"/>
            </w:pPr>
            <w:r>
              <w:rPr>
                <w:rFonts w:ascii="Times New Roman" w:hAnsi="Times New Roman"/>
                <w:sz w:val="20"/>
              </w:rPr>
              <w:t>Operating system</w:t>
            </w:r>
          </w:p>
        </w:tc>
        <w:tc>
          <w:tcPr>
            <w:tcW w:type="dxa" w:w="3261"/>
          </w:tcPr>
          <w:p>
            <w:pPr>
              <w:spacing w:line="276" w:lineRule="auto"/>
            </w:pPr>
            <w:r>
              <w:rPr>
                <w:rFonts w:ascii="Times New Roman" w:hAnsi="Times New Roman"/>
                <w:sz w:val="20"/>
              </w:rPr>
              <w:t>Windows 10 or 11, Linux, or macOS</w:t>
            </w:r>
          </w:p>
        </w:tc>
        <w:tc>
          <w:tcPr>
            <w:tcW w:type="dxa" w:w="3261"/>
          </w:tcPr>
          <w:p>
            <w:pPr>
              <w:spacing w:line="276" w:lineRule="auto"/>
            </w:pPr>
            <w:r>
              <w:rPr>
                <w:rFonts w:ascii="Times New Roman" w:hAnsi="Times New Roman"/>
                <w:sz w:val="20"/>
              </w:rPr>
              <w:t>Local development and browser access.</w:t>
            </w:r>
          </w:p>
        </w:tc>
      </w:tr>
      <w:tr>
        <w:tc>
          <w:tcPr>
            <w:tcW w:type="dxa" w:w="3261"/>
          </w:tcPr>
          <w:p>
            <w:pPr>
              <w:spacing w:line="276" w:lineRule="auto"/>
            </w:pPr>
            <w:r>
              <w:rPr>
                <w:rFonts w:ascii="Times New Roman" w:hAnsi="Times New Roman"/>
                <w:sz w:val="20"/>
              </w:rPr>
              <w:t>Programming language</w:t>
            </w:r>
          </w:p>
        </w:tc>
        <w:tc>
          <w:tcPr>
            <w:tcW w:type="dxa" w:w="3261"/>
          </w:tcPr>
          <w:p>
            <w:pPr>
              <w:spacing w:line="276" w:lineRule="auto"/>
            </w:pPr>
            <w:r>
              <w:rPr>
                <w:rFonts w:ascii="Times New Roman" w:hAnsi="Times New Roman"/>
                <w:sz w:val="20"/>
              </w:rPr>
              <w:t>Python 3.10 or later</w:t>
            </w:r>
          </w:p>
        </w:tc>
        <w:tc>
          <w:tcPr>
            <w:tcW w:type="dxa" w:w="3261"/>
          </w:tcPr>
          <w:p>
            <w:pPr>
              <w:spacing w:line="276" w:lineRule="auto"/>
            </w:pPr>
            <w:r>
              <w:rPr>
                <w:rFonts w:ascii="Times New Roman" w:hAnsi="Times New Roman"/>
                <w:sz w:val="20"/>
              </w:rPr>
              <w:t>Parser, HTTP server, rules, correlation, and JSON API.</w:t>
            </w:r>
          </w:p>
        </w:tc>
      </w:tr>
      <w:tr>
        <w:tc>
          <w:tcPr>
            <w:tcW w:type="dxa" w:w="3261"/>
          </w:tcPr>
          <w:p>
            <w:pPr>
              <w:spacing w:line="276" w:lineRule="auto"/>
            </w:pPr>
            <w:r>
              <w:rPr>
                <w:rFonts w:ascii="Times New Roman" w:hAnsi="Times New Roman"/>
                <w:sz w:val="20"/>
              </w:rPr>
              <w:t>Frontend</w:t>
            </w:r>
          </w:p>
        </w:tc>
        <w:tc>
          <w:tcPr>
            <w:tcW w:type="dxa" w:w="3261"/>
          </w:tcPr>
          <w:p>
            <w:pPr>
              <w:spacing w:line="276" w:lineRule="auto"/>
            </w:pPr>
            <w:r>
              <w:rPr>
                <w:rFonts w:ascii="Times New Roman" w:hAnsi="Times New Roman"/>
                <w:sz w:val="20"/>
              </w:rPr>
              <w:t>HTML, CSS, JavaScript</w:t>
            </w:r>
          </w:p>
        </w:tc>
        <w:tc>
          <w:tcPr>
            <w:tcW w:type="dxa" w:w="3261"/>
          </w:tcPr>
          <w:p>
            <w:pPr>
              <w:spacing w:line="276" w:lineRule="auto"/>
            </w:pPr>
            <w:r>
              <w:rPr>
                <w:rFonts w:ascii="Times New Roman" w:hAnsi="Times New Roman"/>
                <w:sz w:val="20"/>
              </w:rPr>
              <w:t>Local browser dashboard and report download.</w:t>
            </w:r>
          </w:p>
        </w:tc>
      </w:tr>
      <w:tr>
        <w:tc>
          <w:tcPr>
            <w:tcW w:type="dxa" w:w="3261"/>
          </w:tcPr>
          <w:p>
            <w:pPr>
              <w:spacing w:line="276" w:lineRule="auto"/>
            </w:pPr>
            <w:r>
              <w:rPr>
                <w:rFonts w:ascii="Times New Roman" w:hAnsi="Times New Roman"/>
                <w:sz w:val="20"/>
              </w:rPr>
              <w:t>Development tools</w:t>
            </w:r>
          </w:p>
        </w:tc>
        <w:tc>
          <w:tcPr>
            <w:tcW w:type="dxa" w:w="3261"/>
          </w:tcPr>
          <w:p>
            <w:pPr>
              <w:spacing w:line="276" w:lineRule="auto"/>
            </w:pPr>
            <w:r>
              <w:rPr>
                <w:rFonts w:ascii="Times New Roman" w:hAnsi="Times New Roman"/>
                <w:sz w:val="20"/>
              </w:rPr>
              <w:t>VS Code or equivalent, Git, modern browser</w:t>
            </w:r>
          </w:p>
        </w:tc>
        <w:tc>
          <w:tcPr>
            <w:tcW w:type="dxa" w:w="3261"/>
          </w:tcPr>
          <w:p>
            <w:pPr>
              <w:spacing w:line="276" w:lineRule="auto"/>
            </w:pPr>
            <w:r>
              <w:rPr>
                <w:rFonts w:ascii="Times New Roman" w:hAnsi="Times New Roman"/>
                <w:sz w:val="20"/>
              </w:rPr>
              <w:t>Code editing, version control, testing, and demo.</w:t>
            </w:r>
          </w:p>
        </w:tc>
      </w:tr>
      <w:tr>
        <w:tc>
          <w:tcPr>
            <w:tcW w:type="dxa" w:w="3261"/>
          </w:tcPr>
          <w:p>
            <w:pPr>
              <w:spacing w:line="276" w:lineRule="auto"/>
            </w:pPr>
            <w:r>
              <w:rPr>
                <w:rFonts w:ascii="Times New Roman" w:hAnsi="Times New Roman"/>
                <w:sz w:val="20"/>
              </w:rPr>
              <w:t>Processor</w:t>
            </w:r>
          </w:p>
        </w:tc>
        <w:tc>
          <w:tcPr>
            <w:tcW w:type="dxa" w:w="3261"/>
          </w:tcPr>
          <w:p>
            <w:pPr>
              <w:spacing w:line="276" w:lineRule="auto"/>
            </w:pPr>
            <w:r>
              <w:rPr>
                <w:rFonts w:ascii="Times New Roman" w:hAnsi="Times New Roman"/>
                <w:sz w:val="20"/>
              </w:rPr>
              <w:t>Dual core 2 GHz or higher</w:t>
            </w:r>
          </w:p>
        </w:tc>
        <w:tc>
          <w:tcPr>
            <w:tcW w:type="dxa" w:w="3261"/>
          </w:tcPr>
          <w:p>
            <w:pPr>
              <w:spacing w:line="276" w:lineRule="auto"/>
            </w:pPr>
            <w:r>
              <w:rPr>
                <w:rFonts w:ascii="Times New Roman" w:hAnsi="Times New Roman"/>
                <w:sz w:val="20"/>
              </w:rPr>
              <w:t>Sufficient for bounded local log analysis.</w:t>
            </w:r>
          </w:p>
        </w:tc>
      </w:tr>
      <w:tr>
        <w:tc>
          <w:tcPr>
            <w:tcW w:type="dxa" w:w="3261"/>
          </w:tcPr>
          <w:p>
            <w:pPr>
              <w:spacing w:line="276" w:lineRule="auto"/>
            </w:pPr>
            <w:r>
              <w:rPr>
                <w:rFonts w:ascii="Times New Roman" w:hAnsi="Times New Roman"/>
                <w:sz w:val="20"/>
              </w:rPr>
              <w:t>Memory</w:t>
            </w:r>
          </w:p>
        </w:tc>
        <w:tc>
          <w:tcPr>
            <w:tcW w:type="dxa" w:w="3261"/>
          </w:tcPr>
          <w:p>
            <w:pPr>
              <w:spacing w:line="276" w:lineRule="auto"/>
            </w:pPr>
            <w:r>
              <w:rPr>
                <w:rFonts w:ascii="Times New Roman" w:hAnsi="Times New Roman"/>
                <w:sz w:val="20"/>
              </w:rPr>
              <w:t>4 GB RAM minimum, 8 GB recommended</w:t>
            </w:r>
          </w:p>
        </w:tc>
        <w:tc>
          <w:tcPr>
            <w:tcW w:type="dxa" w:w="3261"/>
          </w:tcPr>
          <w:p>
            <w:pPr>
              <w:spacing w:line="276" w:lineRule="auto"/>
            </w:pPr>
            <w:r>
              <w:rPr>
                <w:rFonts w:ascii="Times New Roman" w:hAnsi="Times New Roman"/>
                <w:sz w:val="20"/>
              </w:rPr>
              <w:t>Development tools and browser execution.</w:t>
            </w:r>
          </w:p>
        </w:tc>
      </w:tr>
      <w:tr>
        <w:tc>
          <w:tcPr>
            <w:tcW w:type="dxa" w:w="3261"/>
          </w:tcPr>
          <w:p>
            <w:pPr>
              <w:spacing w:line="276" w:lineRule="auto"/>
            </w:pPr>
            <w:r>
              <w:rPr>
                <w:rFonts w:ascii="Times New Roman" w:hAnsi="Times New Roman"/>
                <w:sz w:val="20"/>
              </w:rPr>
              <w:t>Storage</w:t>
            </w:r>
          </w:p>
        </w:tc>
        <w:tc>
          <w:tcPr>
            <w:tcW w:type="dxa" w:w="3261"/>
          </w:tcPr>
          <w:p>
            <w:pPr>
              <w:spacing w:line="276" w:lineRule="auto"/>
            </w:pPr>
            <w:r>
              <w:rPr>
                <w:rFonts w:ascii="Times New Roman" w:hAnsi="Times New Roman"/>
                <w:sz w:val="20"/>
              </w:rPr>
              <w:t>500 MB free space</w:t>
            </w:r>
          </w:p>
        </w:tc>
        <w:tc>
          <w:tcPr>
            <w:tcW w:type="dxa" w:w="3261"/>
          </w:tcPr>
          <w:p>
            <w:pPr>
              <w:spacing w:line="276" w:lineRule="auto"/>
            </w:pPr>
            <w:r>
              <w:rPr>
                <w:rFonts w:ascii="Times New Roman" w:hAnsi="Times New Roman"/>
                <w:sz w:val="20"/>
              </w:rPr>
              <w:t>Source code, documentation, screenshots, and safe demo logs.</w:t>
            </w:r>
          </w:p>
        </w:tc>
      </w:tr>
      <w:tr>
        <w:tc>
          <w:tcPr>
            <w:tcW w:type="dxa" w:w="3261"/>
          </w:tcPr>
          <w:p>
            <w:pPr>
              <w:spacing w:line="276" w:lineRule="auto"/>
            </w:pPr>
            <w:r>
              <w:rPr>
                <w:rFonts w:ascii="Times New Roman" w:hAnsi="Times New Roman"/>
                <w:sz w:val="20"/>
              </w:rPr>
              <w:t>Network</w:t>
            </w:r>
          </w:p>
        </w:tc>
        <w:tc>
          <w:tcPr>
            <w:tcW w:type="dxa" w:w="3261"/>
          </w:tcPr>
          <w:p>
            <w:pPr>
              <w:spacing w:line="276" w:lineRule="auto"/>
            </w:pPr>
            <w:r>
              <w:rPr>
                <w:rFonts w:ascii="Times New Roman" w:hAnsi="Times New Roman"/>
                <w:sz w:val="20"/>
              </w:rPr>
              <w:t>Not required for analysis</w:t>
            </w:r>
          </w:p>
        </w:tc>
        <w:tc>
          <w:tcPr>
            <w:tcW w:type="dxa" w:w="3261"/>
          </w:tcPr>
          <w:p>
            <w:pPr>
              <w:spacing w:line="276" w:lineRule="auto"/>
            </w:pPr>
            <w:r>
              <w:rPr>
                <w:rFonts w:ascii="Times New Roman" w:hAnsi="Times New Roman"/>
                <w:sz w:val="20"/>
              </w:rPr>
              <w:t>The server uses loopback address 127.0.0.1 only.</w:t>
            </w:r>
          </w:p>
        </w:tc>
      </w:tr>
    </w:tbl>
    <w:p>
      <w:pPr>
        <w:spacing w:line="360" w:lineRule="auto" w:after="120"/>
        <w:jc w:val="both"/>
      </w:pPr>
      <w:r>
        <w:rPr>
          <w:rFonts w:ascii="Times New Roman" w:hAnsi="Times New Roman"/>
          <w:sz w:val="22"/>
        </w:rPr>
        <w:t>No personal or proprietary dataset is required. The demonstration uses synthetic logs stored with the project. If real logs are used later, they must be authorised, sanitised, and handled according to institutional requirements.</w:t>
      </w:r>
    </w:p>
    <w:p>
      <w:r>
        <w:br w:type="page"/>
      </w:r>
    </w:p>
    <w:p>
      <w:pPr>
        <w:spacing w:before="0" w:after="180"/>
        <w:jc w:val="left"/>
      </w:pPr>
      <w:r>
        <w:rPr>
          <w:rFonts w:ascii="Times New Roman" w:hAnsi="Times New Roman"/>
          <w:b/>
          <w:sz w:val="30"/>
        </w:rPr>
        <w:t>7. REFERENCES</w:t>
      </w:r>
    </w:p>
    <w:p>
      <w:pPr>
        <w:spacing w:line="360" w:lineRule="auto" w:after="120"/>
        <w:jc w:val="left"/>
      </w:pPr>
      <w:r>
        <w:rPr>
          <w:rFonts w:ascii="Times New Roman" w:hAnsi="Times New Roman"/>
          <w:sz w:val="22"/>
        </w:rPr>
        <w:t>[1] K. Kent and M. Souppaya, Guide to Computer Security Log Management, NIST Special Publication 800 92, National Institute of Standards and Technology, 2006.</w:t>
      </w:r>
    </w:p>
    <w:p>
      <w:pPr>
        <w:spacing w:line="360" w:lineRule="auto" w:after="120"/>
        <w:jc w:val="left"/>
      </w:pPr>
      <w:r>
        <w:rPr>
          <w:rFonts w:ascii="Times New Roman" w:hAnsi="Times New Roman"/>
          <w:sz w:val="22"/>
        </w:rPr>
        <w:t>[2] OWASP Foundation, Logging Cheat Sheet, OWASP Cheat Sheet Series, https://cheatsheetseries.owasp.org/cheatsheets/Logging_Cheat_Sheet.html, accessed September 2026.</w:t>
      </w:r>
    </w:p>
    <w:p>
      <w:pPr>
        <w:spacing w:line="360" w:lineRule="auto" w:after="120"/>
        <w:jc w:val="left"/>
      </w:pPr>
      <w:r>
        <w:rPr>
          <w:rFonts w:ascii="Times New Roman" w:hAnsi="Times New Roman"/>
          <w:sz w:val="22"/>
        </w:rPr>
        <w:t>[3] MITRE ATT and CK, Brute Force Password Guessing T1110.001, https://attack.mitre.org/techniques/T1110/001/, accessed September 2026.</w:t>
      </w:r>
    </w:p>
    <w:p>
      <w:pPr>
        <w:spacing w:line="360" w:lineRule="auto" w:after="120"/>
        <w:jc w:val="left"/>
      </w:pPr>
      <w:r>
        <w:rPr>
          <w:rFonts w:ascii="Times New Roman" w:hAnsi="Times New Roman"/>
          <w:sz w:val="22"/>
        </w:rPr>
        <w:t>[4] MITRE ATT and CK, Valid Accounts T1078, https://attack.mitre.org/techniques/T1078/, accessed September 2026.</w:t>
      </w:r>
    </w:p>
    <w:p>
      <w:pPr>
        <w:spacing w:line="360" w:lineRule="auto" w:after="120"/>
        <w:jc w:val="left"/>
      </w:pPr>
      <w:r>
        <w:rPr>
          <w:rFonts w:ascii="Times New Roman" w:hAnsi="Times New Roman"/>
          <w:sz w:val="22"/>
        </w:rPr>
        <w:t>[5] MITRE ATT and CK, Exploit Public Facing Application T1190, https://attack.mitre.org/techniques/T1190/, accessed September 2026.</w:t>
      </w:r>
    </w:p>
    <w:p>
      <w:pPr>
        <w:spacing w:line="360" w:lineRule="auto" w:after="120"/>
        <w:jc w:val="left"/>
      </w:pPr>
      <w:r>
        <w:rPr>
          <w:rFonts w:ascii="Times New Roman" w:hAnsi="Times New Roman"/>
          <w:sz w:val="22"/>
        </w:rPr>
        <w:t>[6] OWASP Foundation, SQL Injection Prevention Cheat Sheet, https://cheatsheetseries.owasp.org/cheatsheets/SQL_Injection_Prevention_Cheat_Sheet.html, accessed September 2026.</w:t>
      </w:r>
    </w:p>
    <w:p>
      <w:pPr>
        <w:spacing w:line="360" w:lineRule="auto" w:after="120"/>
        <w:jc w:val="left"/>
      </w:pPr>
      <w:r>
        <w:rPr>
          <w:rFonts w:ascii="Times New Roman" w:hAnsi="Times New Roman"/>
          <w:sz w:val="22"/>
        </w:rPr>
        <w:t>[7] MITRE ATT and CK, Command and Scripting Interpreter T1059, https://attack.mitre.org/techniques/T1059/, accessed September 2026.</w:t>
      </w:r>
    </w:p>
    <w:sectPr>
      <w:footerReference r:id="rId10" w:type="default"/>
      <w:type w:val="nextPage"/>
      <w:pgSz w:h="16840" w:w="11910" w:orient="portrait"/>
      <w:pgMar w:bottom="709" w:top="1417" w:left="1417" w:right="709" w:header="0" w:footer="1061"/>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pPr>
    <w:rPr>
      <w:rFonts w:ascii="Times New Roman" w:hAnsi="Times New Roman" w:eastAsia="Times New Roman"/>
      <w:sz w:val="22"/>
    </w:rPr>
  </w:style>
  <w:style w:type="paragraph" w:styleId="Heading1">
    <w:name w:val="heading 1"/>
    <w:basedOn w:val="Normal"/>
    <w:next w:val="Normal"/>
    <w:pPr>
      <w:spacing w:before="62" w:lineRule="auto"/>
      <w:ind w:left="286"/>
      <w:jc w:val="center"/>
    </w:pPr>
    <w:rPr>
      <w:b w:val="1"/>
      <w:bCs w:val="1"/>
      <w:sz w:val="28"/>
      <w:szCs w:val="28"/>
    </w:rPr>
  </w:style>
  <w:style w:type="paragraph" w:styleId="Heading2">
    <w:name w:val="heading 2"/>
    <w:basedOn w:val="Normal"/>
    <w:next w:val="Normal"/>
    <w:pPr>
      <w:spacing w:before="41" w:lineRule="auto"/>
      <w:ind w:left="448"/>
    </w:pPr>
    <w:rPr>
      <w:b w:val="1"/>
      <w:bCs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cse.iitk.ac.in/users/biometrics.html?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cse.iitk.ac.in/users/biometric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2026-08-12T00:00:00Z</vt:lpwstr>
  </property>
  <property fmtid="{D5CDD505-2E9C-101B-9397-08002B2CF9AE}" pid="4" name="LastSaved">
    <vt:lpwstr>2026-08-12T00:00:00Z</vt:lpwstr>
  </property>
  <property fmtid="{D5CDD505-2E9C-101B-9397-08002B2CF9AE}" pid="5" name="Producer">
    <vt:lpwstr>iLovePDF</vt:lpwstr>
  </property>
</Properties>
</file>