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LLOYD INSTITUTE OF ENGINEERING AND TECHNOLOGY</w:t>
      </w:r>
    </w:p>
    <w:p>
      <w:pPr>
        <w:jc w:val="center"/>
      </w:pPr>
      <w:r>
        <w:rPr>
          <w:b/>
        </w:rPr>
        <w:t>Department of Computer Science and Engineering</w:t>
      </w:r>
    </w:p>
    <w:p>
      <w:r>
        <w:br/>
      </w:r>
    </w:p>
    <w:p>
      <w:pPr>
        <w:jc w:val="center"/>
      </w:pPr>
      <w:r>
        <w:rPr>
          <w:b/>
          <w:sz w:val="32"/>
        </w:rPr>
        <w:t>MINI PROJECT REPORT</w:t>
      </w:r>
    </w:p>
    <w:p>
      <w:pPr>
        <w:jc w:val="center"/>
      </w:pPr>
      <w:r>
        <w:rPr>
          <w:b/>
          <w:sz w:val="36"/>
        </w:rPr>
        <w:t>SentinelTrace An Explainable Local Log Based Threat Triage and Alert Prioritization System</w:t>
      </w:r>
    </w:p>
    <w:p>
      <w:r>
        <w:br/>
      </w:r>
    </w:p>
    <w:p>
      <w:pPr>
        <w:jc w:val="center"/>
      </w:pPr>
      <w:r>
        <w:t>Submitted by: ______________________________</w:t>
      </w:r>
    </w:p>
    <w:p>
      <w:pPr>
        <w:jc w:val="center"/>
      </w:pPr>
      <w:r>
        <w:t>Roll Number: ______________________________</w:t>
      </w:r>
    </w:p>
    <w:p>
      <w:pPr>
        <w:jc w:val="center"/>
      </w:pPr>
      <w:r>
        <w:t>Branch and Semester: B.Tech CSE VIII Semester</w:t>
      </w:r>
    </w:p>
    <w:p>
      <w:pPr>
        <w:jc w:val="center"/>
      </w:pPr>
      <w:r>
        <w:t>Under the guidance of: ______________________________</w:t>
      </w:r>
    </w:p>
    <w:p>
      <w:pPr>
        <w:jc w:val="center"/>
      </w:pPr>
      <w:r>
        <w:t>Academic Year: 2026 to 2027</w:t>
      </w:r>
    </w:p>
    <w:p>
      <w:r>
        <w:br w:type="page"/>
      </w:r>
    </w:p>
    <w:p>
      <w:pPr>
        <w:pStyle w:val="Heading1"/>
      </w:pPr>
      <w:r>
        <w:t>Certificate</w:t>
      </w:r>
    </w:p>
    <w:p>
      <w:r>
        <w:rPr>
          <w:b w:val="0"/>
        </w:rPr>
        <w:t>This is to certify that the project report titled SentinelTrace An Explainable Local Log Based Threat Triage and Alert Prioritization System is a bonafide record of work carried out by the student named on the cover under departmental supervision.</w:t>
        <w:br/>
        <w:br/>
        <w:t>Guide Signature: __________________  Head of Department: __________________</w:t>
      </w:r>
    </w:p>
    <w:p>
      <w:pPr>
        <w:pStyle w:val="Heading1"/>
      </w:pPr>
      <w:r>
        <w:t>Declaration</w:t>
      </w:r>
    </w:p>
    <w:p>
      <w:r>
        <w:rPr>
          <w:b w:val="0"/>
        </w:rPr>
        <w:t>I declare that this report is my original individual work. All external ideas, standards, and sources have been acknowledged. I understand that the submitted implementation and report are subject to the academic integrity requirements of the department.</w:t>
        <w:br/>
        <w:br/>
        <w:t>Student Signature: __________________</w:t>
      </w:r>
    </w:p>
    <w:p>
      <w:pPr>
        <w:pStyle w:val="Heading1"/>
      </w:pPr>
      <w:r>
        <w:t>Acknowledgement</w:t>
      </w:r>
    </w:p>
    <w:p>
      <w:r>
        <w:rPr>
          <w:b w:val="0"/>
        </w:rPr>
        <w:t>I thank my guide, department, and institute for guidance and facilities. I also acknowledge the standards bodies and open security communities whose published guidance informed the defensive scope of this work.</w:t>
      </w:r>
    </w:p>
    <w:p>
      <w:pPr>
        <w:pStyle w:val="Heading1"/>
      </w:pPr>
      <w:r>
        <w:t>Abstract</w:t>
      </w:r>
    </w:p>
    <w:p>
      <w:r>
        <w:rPr>
          <w:b w:val="0"/>
        </w:rPr>
        <w:t>SentinelTrace is an explainable local log based threat triage application for authorized Apache style access logs and Linux SSH authentication logs. The system normalizes recognized records, applies deterministic detection rules, correlates findings by source IP address, and presents an analyst oriented incident timeline. Each finding contains evidence, severity, confidence, MITRE ATT and CK mapping, and a recommended response. A transparent weighted model prioritizes entities while deliberately avoiding a claim that the score is a probability of compromise. The prototype runs using the Python standard library and a browser dashboard; it does not transfer logs to a cloud service, scan endpoints, execute input, or collect credentials. Functional evaluation uses a synthetic safe corpus containing brute force, suspicious successful authentication, sensitive path scanning, path traversal, SQL injection indicators, and command injection indicators. The results demonstrate correct activation of all six intended rule categories. The work shows how explainability and local deployment can make foundational log analysis suitable for a student laboratory, while also documenting false positive risk and production limitations.</w:t>
      </w:r>
    </w:p>
    <w:p>
      <w:pPr>
        <w:pStyle w:val="Heading1"/>
      </w:pPr>
      <w:r>
        <w:t>Table of Contents</w:t>
      </w:r>
    </w:p>
    <w:p>
      <w:r>
        <w:rPr>
          <w:b w:val="0"/>
        </w:rPr>
        <w:t>Chapter 1 Introduction</w:t>
      </w:r>
    </w:p>
    <w:p>
      <w:r>
        <w:rPr>
          <w:b w:val="0"/>
        </w:rPr>
        <w:t>Chapter 2 Literature Review and Existing Systems</w:t>
      </w:r>
    </w:p>
    <w:p>
      <w:r>
        <w:rPr>
          <w:b w:val="0"/>
        </w:rPr>
        <w:t>Chapter 3 Requirements and System Design</w:t>
      </w:r>
    </w:p>
    <w:p>
      <w:r>
        <w:rPr>
          <w:b w:val="0"/>
        </w:rPr>
        <w:t>Chapter 4 Implementation</w:t>
      </w:r>
    </w:p>
    <w:p>
      <w:r>
        <w:rPr>
          <w:b w:val="0"/>
        </w:rPr>
        <w:t>Chapter 5 Testing and Validation</w:t>
      </w:r>
    </w:p>
    <w:p>
      <w:r>
        <w:rPr>
          <w:b w:val="0"/>
        </w:rPr>
        <w:t>Chapter 6 Results and Discussion</w:t>
      </w:r>
    </w:p>
    <w:p>
      <w:r>
        <w:rPr>
          <w:b w:val="0"/>
        </w:rPr>
        <w:t>Chapter 7 Conclusion and Future Scope</w:t>
      </w:r>
    </w:p>
    <w:p>
      <w:r>
        <w:rPr>
          <w:b w:val="0"/>
        </w:rPr>
        <w:t>References and Appendices</w:t>
      </w:r>
    </w:p>
    <w:p>
      <w:pPr>
        <w:pStyle w:val="Heading1"/>
      </w:pPr>
      <w:r>
        <w:t>Chapter 1 Introduction</w:t>
      </w:r>
    </w:p>
    <w:p>
      <w:r>
        <w:rPr>
          <w:b w:val="0"/>
        </w:rPr>
        <w:t>Cybersecurity monitoring depends on timely interpretation of telemetry. Web and authentication logs are often the earliest available evidence of probing, password attacks, or misuse, yet they are difficult to review manually. SentinelTrace narrows the problem to a transparent and demonstrable workflow for a student laboratory.</w:t>
      </w:r>
    </w:p>
    <w:p>
      <w:r>
        <w:rPr>
          <w:b w:val="0"/>
        </w:rPr>
        <w:t>The central design decision is explainability. Every result must answer what was observed, which rule matched, how it was prioritized, and what an analyst should examine next. The prototype therefore treats detection as decision support rather than autonomous attribution.</w:t>
      </w:r>
    </w:p>
    <w:p>
      <w:pPr>
        <w:pStyle w:val="Heading1"/>
      </w:pPr>
      <w:r>
        <w:t>1 1 Background and Motivation</w:t>
      </w:r>
    </w:p>
    <w:p>
      <w:r>
        <w:rPr>
          <w:b w:val="0"/>
        </w:rPr>
        <w:t>Log management guidance emphasizes collection, analysis, retention, and response. In a small environment, raw records may exist without correlation or clear prioritization. A local tool can provide a learning bridge between individual log lines and a structured incident review process.</w:t>
      </w:r>
    </w:p>
    <w:p>
      <w:r>
        <w:rPr>
          <w:b w:val="0"/>
        </w:rPr>
        <w:t>The project deliberately avoids offensive functionality. It accepts only supplied text, does not contact any network target, and confines analysis to a local server.</w:t>
      </w:r>
    </w:p>
    <w:p>
      <w:pPr>
        <w:pStyle w:val="Heading1"/>
      </w:pPr>
      <w:r>
        <w:t>1 2 Problem Definition</w:t>
      </w:r>
    </w:p>
    <w:p>
      <w:r>
        <w:rPr>
          <w:b w:val="0"/>
        </w:rPr>
        <w:t>The system must recognize a limited number of web and SSH events, detect defined patterns, and explain its result. It must remain usable by an analyst who has not memorized each rule. It must also preserve a distinction between an indicator and confirmed compromise.</w:t>
      </w:r>
    </w:p>
    <w:p>
      <w:pPr>
        <w:pStyle w:val="Heading1"/>
      </w:pPr>
      <w:r>
        <w:t>1 3 Objectives and Contributions</w:t>
      </w:r>
    </w:p>
    <w:p>
      <w:r>
        <w:rPr>
          <w:b w:val="0"/>
        </w:rPr>
        <w:t>The contribution is an integrated, source available prototype that combines parsing, rule detection, correlation, scoring, ATT and CK context, and export. The fourth year enhancement adds stable analysis identifiers, per finding confidence, mapped response guidance, and explicit model limitations.</w:t>
      </w:r>
    </w:p>
    <w:p>
      <w:pPr>
        <w:pStyle w:val="Heading1"/>
      </w:pPr>
      <w:r>
        <w:t>Chapter 2 Literature Review and Existing Systems</w:t>
      </w:r>
    </w:p>
    <w:p>
      <w:r>
        <w:rPr>
          <w:b w:val="0"/>
        </w:rPr>
        <w:t>NIST SP 800 92 describes the importance of computer security log management. OWASP guidance explains what application logging should capture and cautions that logging must be designed securely. MITRE ATT and CK provides a common vocabulary for adversary behavior. These sources motivate standard terminology and analyst validation.</w:t>
      </w:r>
    </w:p>
    <w:p>
      <w:pPr>
        <w:pStyle w:val="Heading1"/>
      </w:pPr>
      <w:r>
        <w:t>2 1 Research Gap</w:t>
      </w:r>
    </w:p>
    <w:p>
      <w:r>
        <w:rPr>
          <w:b w:val="0"/>
        </w:rPr>
        <w:t>Large SIEM products support extensive ingestion and correlation but may be costly or opaque for a small academic prototype. Single rule scripts, in contrast, commonly lack a user interface, correlation, documented risk model, or evidence export. SentinelTrace targets this middle ground.</w:t>
      </w:r>
    </w:p>
    <w:p>
      <w:pPr>
        <w:pStyle w:val="Heading1"/>
      </w:pPr>
      <w:r>
        <w:t>2 2 Comparison of Approaches</w:t>
      </w:r>
    </w:p>
    <w:p>
      <w:r>
        <w:rPr>
          <w:b w:val="0"/>
        </w:rPr>
        <w:t>Signature based detection is reproducible and explainable but can miss novel behavior. Machine learning can identify unusual patterns but requires representative labelled data and careful evaluation. The selected rule based approach is appropriate for the limited, auditable project scope and can later provide features for a hybrid model.</w:t>
      </w:r>
    </w:p>
    <w:p>
      <w:pPr>
        <w:pStyle w:val="Heading1"/>
      </w:pPr>
      <w:r>
        <w:t>Chapter 3 Requirements and System Design</w:t>
      </w:r>
    </w:p>
    <w:p>
      <w:r>
        <w:rPr>
          <w:b w:val="0"/>
        </w:rPr>
        <w:t>Functional requirements include input of supported logs, normalized event parsing, six detection categories, entity correlation, severity summary, incident timeline, and JSON export. Nonfunctional requirements include local processing, no execution of input, clarity of explanations, modest resource use, and maintainability.</w:t>
      </w:r>
    </w:p>
    <w:p>
      <w:pPr>
        <w:pStyle w:val="Heading1"/>
      </w:pPr>
      <w:r>
        <w:t>3 1 Architecture</w:t>
      </w:r>
    </w:p>
    <w:p>
      <w:r>
        <w:rPr>
          <w:b w:val="0"/>
        </w:rPr>
        <w:t>The architecture has four layers: browser input and result display; local HTTP API; parser and rule engine; correlation and report generation. Access and auth log sources enter the parser. Findings travel to the correlation layer where risk is calculated, then return to the dashboard and export.</w:t>
      </w:r>
    </w:p>
    <w:p>
      <w:pPr>
        <w:pStyle w:val="Heading1"/>
      </w:pPr>
      <w:r>
        <w:t>3 2 Data Model</w:t>
      </w:r>
    </w:p>
    <w:p>
      <w:r>
        <w:rPr>
          <w:b w:val="0"/>
        </w:rPr>
        <w:t>A normalized event stores index, source, IP, time, action, and source-specific properties. A finding stores a stable identifier, rule, severity, confidence, MITRE technique, weight, evidence, explanation, recommendation, time, IP, and original line number. This design improves traceability during review.</w:t>
      </w:r>
    </w:p>
    <w:p>
      <w:pPr>
        <w:pStyle w:val="Heading1"/>
      </w:pPr>
      <w:r>
        <w:t>3 3 Risk Model</w:t>
      </w:r>
    </w:p>
    <w:p>
      <w:r>
        <w:t>For every source IP, the rule catalogue contributes the configured weight of each triggered rule category once; the total is capped at 100. The score ranks analyst attention; it is not an attack probability, severity of business impact, or replacement for incident investigation.</w:t>
      </w:r>
    </w:p>
    <w:p>
      <w:pPr>
        <w:pStyle w:val="Heading1"/>
      </w:pPr>
      <w:r>
        <w:t>3 4 Threat Model and Ethics</w:t>
      </w:r>
    </w:p>
    <w:p>
      <w:r>
        <w:rPr>
          <w:b w:val="0"/>
        </w:rPr>
        <w:t>The tool assumes an authorized operator supplies logs. It protects against accidental overclaiming by displaying limitations and confidence. It does not protect a production infrastructure, authenticate users, or replace secure log retention. Real deployment would require access control, encryption, retention policy, and audit logging.</w:t>
      </w:r>
    </w:p>
    <w:p>
      <w:pPr>
        <w:pStyle w:val="Heading1"/>
      </w:pPr>
      <w:r>
        <w:t>3 5 Functional Requirements</w:t>
      </w:r>
    </w:p>
    <w:p>
      <w:r>
        <w:rPr>
          <w:b w:val="0"/>
        </w:rPr>
        <w:t>The project requirements were derived from the problem statement and evaluated against the implemented features. The table distinguishes direct system obligations from desirable future capabilities.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ID</w:t>
            </w:r>
          </w:p>
        </w:tc>
        <w:tc>
          <w:tcPr>
            <w:tcW w:type="dxa" w:w="2770"/>
            <w:vAlign w:val="center"/>
          </w:tcPr>
          <w:p>
            <w:r>
              <w:t>Requirement</w:t>
            </w:r>
          </w:p>
        </w:tc>
        <w:tc>
          <w:tcPr>
            <w:tcW w:type="dxa" w:w="2770"/>
            <w:vAlign w:val="center"/>
          </w:tcPr>
          <w:p>
            <w:r>
              <w:t>Implementation Evidence</w:t>
            </w:r>
          </w:p>
        </w:tc>
      </w:tr>
      <w:tr>
        <w:tc>
          <w:tcPr>
            <w:tcW w:type="dxa" w:w="2770"/>
            <w:vAlign w:val="center"/>
          </w:tcPr>
          <w:p>
            <w:r>
              <w:t>FR01</w:t>
            </w:r>
          </w:p>
        </w:tc>
        <w:tc>
          <w:tcPr>
            <w:tcW w:type="dxa" w:w="2770"/>
            <w:vAlign w:val="center"/>
          </w:tcPr>
          <w:p>
            <w:r>
              <w:t>Accept authorized text logs</w:t>
            </w:r>
          </w:p>
        </w:tc>
        <w:tc>
          <w:tcPr>
            <w:tcW w:type="dxa" w:w="2770"/>
            <w:vAlign w:val="center"/>
          </w:tcPr>
          <w:p>
            <w:r>
              <w:t>Local text area and JSON request</w:t>
            </w:r>
          </w:p>
        </w:tc>
      </w:tr>
      <w:tr>
        <w:tc>
          <w:tcPr>
            <w:tcW w:type="dxa" w:w="2770"/>
            <w:vAlign w:val="center"/>
          </w:tcPr>
          <w:p>
            <w:r>
              <w:t>FR02</w:t>
            </w:r>
          </w:p>
        </w:tc>
        <w:tc>
          <w:tcPr>
            <w:tcW w:type="dxa" w:w="2770"/>
            <w:vAlign w:val="center"/>
          </w:tcPr>
          <w:p>
            <w:r>
              <w:t>Parse web and SSH formats</w:t>
            </w:r>
          </w:p>
        </w:tc>
        <w:tc>
          <w:tcPr>
            <w:tcW w:type="dxa" w:w="2770"/>
            <w:vAlign w:val="center"/>
          </w:tcPr>
          <w:p>
            <w:r>
              <w:t>Dedicated regular expressions</w:t>
            </w:r>
          </w:p>
        </w:tc>
      </w:tr>
      <w:tr>
        <w:tc>
          <w:tcPr>
            <w:tcW w:type="dxa" w:w="2770"/>
            <w:vAlign w:val="center"/>
          </w:tcPr>
          <w:p>
            <w:r>
              <w:t>FR03</w:t>
            </w:r>
          </w:p>
        </w:tc>
        <w:tc>
          <w:tcPr>
            <w:tcW w:type="dxa" w:w="2770"/>
            <w:vAlign w:val="center"/>
          </w:tcPr>
          <w:p>
            <w:r>
              <w:t>Detect six indicator classes</w:t>
            </w:r>
          </w:p>
        </w:tc>
        <w:tc>
          <w:tcPr>
            <w:tcW w:type="dxa" w:w="2770"/>
            <w:vAlign w:val="center"/>
          </w:tcPr>
          <w:p>
            <w:r>
              <w:t>Central rule catalogue</w:t>
            </w:r>
          </w:p>
        </w:tc>
      </w:tr>
      <w:tr>
        <w:tc>
          <w:tcPr>
            <w:tcW w:type="dxa" w:w="2770"/>
            <w:vAlign w:val="center"/>
          </w:tcPr>
          <w:p>
            <w:r>
              <w:t>FR04</w:t>
            </w:r>
          </w:p>
        </w:tc>
        <w:tc>
          <w:tcPr>
            <w:tcW w:type="dxa" w:w="2770"/>
            <w:vAlign w:val="center"/>
          </w:tcPr>
          <w:p>
            <w:r>
              <w:t>Explain every finding</w:t>
            </w:r>
          </w:p>
        </w:tc>
        <w:tc>
          <w:tcPr>
            <w:tcW w:type="dxa" w:w="2770"/>
            <w:vAlign w:val="center"/>
          </w:tcPr>
          <w:p>
            <w:r>
              <w:t>Evidence and rule explanation</w:t>
            </w:r>
          </w:p>
        </w:tc>
      </w:tr>
      <w:tr>
        <w:tc>
          <w:tcPr>
            <w:tcW w:type="dxa" w:w="2770"/>
            <w:vAlign w:val="center"/>
          </w:tcPr>
          <w:p>
            <w:r>
              <w:t>FR05</w:t>
            </w:r>
          </w:p>
        </w:tc>
        <w:tc>
          <w:tcPr>
            <w:tcW w:type="dxa" w:w="2770"/>
            <w:vAlign w:val="center"/>
          </w:tcPr>
          <w:p>
            <w:r>
              <w:t>Prioritize entities</w:t>
            </w:r>
          </w:p>
        </w:tc>
        <w:tc>
          <w:tcPr>
            <w:tcW w:type="dxa" w:w="2770"/>
            <w:vAlign w:val="center"/>
          </w:tcPr>
          <w:p>
            <w:r>
              <w:t>Weighted IP correlation</w:t>
            </w:r>
          </w:p>
        </w:tc>
      </w:tr>
      <w:tr>
        <w:tc>
          <w:tcPr>
            <w:tcW w:type="dxa" w:w="2770"/>
            <w:vAlign w:val="center"/>
          </w:tcPr>
          <w:p>
            <w:r>
              <w:t>FR06</w:t>
            </w:r>
          </w:p>
        </w:tc>
        <w:tc>
          <w:tcPr>
            <w:tcW w:type="dxa" w:w="2770"/>
            <w:vAlign w:val="center"/>
          </w:tcPr>
          <w:p>
            <w:r>
              <w:t>Export findings</w:t>
            </w:r>
          </w:p>
        </w:tc>
        <w:tc>
          <w:tcPr>
            <w:tcW w:type="dxa" w:w="2770"/>
            <w:vAlign w:val="center"/>
          </w:tcPr>
          <w:p>
            <w:r>
              <w:t>Browser JSON report download</w:t>
            </w:r>
          </w:p>
        </w:tc>
      </w:tr>
      <w:tr>
        <w:tc>
          <w:tcPr>
            <w:tcW w:type="dxa" w:w="2770"/>
            <w:vAlign w:val="center"/>
          </w:tcPr>
          <w:p>
            <w:r>
              <w:t>FR07</w:t>
            </w:r>
          </w:p>
        </w:tc>
        <w:tc>
          <w:tcPr>
            <w:tcW w:type="dxa" w:w="2770"/>
            <w:vAlign w:val="center"/>
          </w:tcPr>
          <w:p>
            <w:r>
              <w:t>Avoid external transfer</w:t>
            </w:r>
          </w:p>
        </w:tc>
        <w:tc>
          <w:tcPr>
            <w:tcW w:type="dxa" w:w="2770"/>
            <w:vAlign w:val="center"/>
          </w:tcPr>
          <w:p>
            <w:r>
              <w:t>Local 127.0.0.1 server only</w:t>
            </w:r>
          </w:p>
        </w:tc>
      </w:tr>
    </w:tbl>
    <w:p>
      <w:pPr>
        <w:pStyle w:val="Heading1"/>
      </w:pPr>
      <w:r>
        <w:t>3 6 Nonfunctional Requirements</w:t>
      </w:r>
    </w:p>
    <w:p>
      <w:r>
        <w:rPr>
          <w:b w:val="0"/>
        </w:rPr>
        <w:t>Quality requirements are as important as detection correctness because the project is intended for transparent educational use.</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Attribute</w:t>
            </w:r>
          </w:p>
        </w:tc>
        <w:tc>
          <w:tcPr>
            <w:tcW w:type="dxa" w:w="2770"/>
            <w:vAlign w:val="center"/>
          </w:tcPr>
          <w:p>
            <w:r>
              <w:t>Target</w:t>
            </w:r>
          </w:p>
        </w:tc>
        <w:tc>
          <w:tcPr>
            <w:tcW w:type="dxa" w:w="2770"/>
            <w:vAlign w:val="center"/>
          </w:tcPr>
          <w:p>
            <w:r>
              <w:t>Design Response</w:t>
            </w:r>
          </w:p>
        </w:tc>
      </w:tr>
      <w:tr>
        <w:tc>
          <w:tcPr>
            <w:tcW w:type="dxa" w:w="2770"/>
            <w:vAlign w:val="center"/>
          </w:tcPr>
          <w:p>
            <w:r>
              <w:t>Usability</w:t>
            </w:r>
          </w:p>
        </w:tc>
        <w:tc>
          <w:tcPr>
            <w:tcW w:type="dxa" w:w="2770"/>
            <w:vAlign w:val="center"/>
          </w:tcPr>
          <w:p>
            <w:r>
              <w:t>Readable analyst workflow</w:t>
            </w:r>
          </w:p>
        </w:tc>
        <w:tc>
          <w:tcPr>
            <w:tcW w:type="dxa" w:w="2770"/>
            <w:vAlign w:val="center"/>
          </w:tcPr>
          <w:p>
            <w:r>
              <w:t>Summary cards and chronological findings</w:t>
            </w:r>
          </w:p>
        </w:tc>
      </w:tr>
      <w:tr>
        <w:tc>
          <w:tcPr>
            <w:tcW w:type="dxa" w:w="2770"/>
            <w:vAlign w:val="center"/>
          </w:tcPr>
          <w:p>
            <w:r>
              <w:t>Explainability</w:t>
            </w:r>
          </w:p>
        </w:tc>
        <w:tc>
          <w:tcPr>
            <w:tcW w:type="dxa" w:w="2770"/>
            <w:vAlign w:val="center"/>
          </w:tcPr>
          <w:p>
            <w:r>
              <w:t>Every alert is traceable</w:t>
            </w:r>
          </w:p>
        </w:tc>
        <w:tc>
          <w:tcPr>
            <w:tcW w:type="dxa" w:w="2770"/>
            <w:vAlign w:val="center"/>
          </w:tcPr>
          <w:p>
            <w:r>
              <w:t>Rule ID, evidence, line, confidence, response</w:t>
            </w:r>
          </w:p>
        </w:tc>
      </w:tr>
      <w:tr>
        <w:tc>
          <w:tcPr>
            <w:tcW w:type="dxa" w:w="2770"/>
            <w:vAlign w:val="center"/>
          </w:tcPr>
          <w:p>
            <w:r>
              <w:t>Privacy</w:t>
            </w:r>
          </w:p>
        </w:tc>
        <w:tc>
          <w:tcPr>
            <w:tcW w:type="dxa" w:w="2770"/>
            <w:vAlign w:val="center"/>
          </w:tcPr>
          <w:p>
            <w:r>
              <w:t>No third party upload</w:t>
            </w:r>
          </w:p>
        </w:tc>
        <w:tc>
          <w:tcPr>
            <w:tcW w:type="dxa" w:w="2770"/>
            <w:vAlign w:val="center"/>
          </w:tcPr>
          <w:p>
            <w:r>
              <w:t>Local server and no cloud dependency</w:t>
            </w:r>
          </w:p>
        </w:tc>
      </w:tr>
      <w:tr>
        <w:tc>
          <w:tcPr>
            <w:tcW w:type="dxa" w:w="2770"/>
            <w:vAlign w:val="center"/>
          </w:tcPr>
          <w:p>
            <w:r>
              <w:t>Safety</w:t>
            </w:r>
          </w:p>
        </w:tc>
        <w:tc>
          <w:tcPr>
            <w:tcW w:type="dxa" w:w="2770"/>
            <w:vAlign w:val="center"/>
          </w:tcPr>
          <w:p>
            <w:r>
              <w:t>Do not execute input</w:t>
            </w:r>
          </w:p>
        </w:tc>
        <w:tc>
          <w:tcPr>
            <w:tcW w:type="dxa" w:w="2770"/>
            <w:vAlign w:val="center"/>
          </w:tcPr>
          <w:p>
            <w:r>
              <w:t>Logs treated strictly as text</w:t>
            </w:r>
          </w:p>
        </w:tc>
      </w:tr>
      <w:tr>
        <w:tc>
          <w:tcPr>
            <w:tcW w:type="dxa" w:w="2770"/>
            <w:vAlign w:val="center"/>
          </w:tcPr>
          <w:p>
            <w:r>
              <w:t>Maintainability</w:t>
            </w:r>
          </w:p>
        </w:tc>
        <w:tc>
          <w:tcPr>
            <w:tcW w:type="dxa" w:w="2770"/>
            <w:vAlign w:val="center"/>
          </w:tcPr>
          <w:p>
            <w:r>
              <w:t>Rules are easy to change</w:t>
            </w:r>
          </w:p>
        </w:tc>
        <w:tc>
          <w:tcPr>
            <w:tcW w:type="dxa" w:w="2770"/>
            <w:vAlign w:val="center"/>
          </w:tcPr>
          <w:p>
            <w:r>
              <w:t>Single Python rule catalogue</w:t>
            </w:r>
          </w:p>
        </w:tc>
      </w:tr>
      <w:tr>
        <w:tc>
          <w:tcPr>
            <w:tcW w:type="dxa" w:w="2770"/>
            <w:vAlign w:val="center"/>
          </w:tcPr>
          <w:p>
            <w:r>
              <w:t>Performance</w:t>
            </w:r>
          </w:p>
        </w:tc>
        <w:tc>
          <w:tcPr>
            <w:tcW w:type="dxa" w:w="2770"/>
            <w:vAlign w:val="center"/>
          </w:tcPr>
          <w:p>
            <w:r>
              <w:t>Small laboratory logs</w:t>
            </w:r>
          </w:p>
        </w:tc>
        <w:tc>
          <w:tcPr>
            <w:tcW w:type="dxa" w:w="2770"/>
            <w:vAlign w:val="center"/>
          </w:tcPr>
          <w:p>
            <w:r>
              <w:t>One megabyte input limit</w:t>
            </w:r>
          </w:p>
        </w:tc>
      </w:tr>
    </w:tbl>
    <w:p>
      <w:pPr>
        <w:pStyle w:val="Heading1"/>
      </w:pPr>
      <w:r>
        <w:t>3 7 Data Flow and Interface Contract</w:t>
      </w:r>
    </w:p>
    <w:p>
      <w:r>
        <w:rPr>
          <w:b w:val="0"/>
        </w:rPr>
        <w:t>The browser obtains synthetic test input from GET slash demo and submits a JSON object containing a logs string to POST slash analyze. The response contains analysis metadata, parsed-event count, findings, prioritized entities, severity counts, rule catalogue, and limitations. The server returns a clear error for an invalid payload or input larger than one megabyte.</w:t>
      </w:r>
    </w:p>
    <w:p>
      <w:pPr>
        <w:pStyle w:val="Heading1"/>
      </w:pPr>
      <w:r>
        <w:t>Chapter 4 Implementation</w:t>
      </w:r>
    </w:p>
    <w:p>
      <w:r>
        <w:rPr>
          <w:b w:val="0"/>
        </w:rPr>
        <w:t>The implementation uses Python standard library modules for a small local server and JSON API. Regular expressions recognize Apache combined style requests and common sshd accepted or failed password entries. The browser client uses fetch requests to retrieve demo input and submit text for analysis.</w:t>
      </w:r>
    </w:p>
    <w:p>
      <w:pPr>
        <w:pStyle w:val="Heading1"/>
      </w:pPr>
      <w:r>
        <w:t>4 1 Source Code Modules</w:t>
      </w:r>
    </w:p>
    <w:p>
      <w:r>
        <w:t>The implementation uses small, named modules so an individual student can explain the flow from parsing through response generation.</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Module</w:t>
            </w:r>
          </w:p>
        </w:tc>
        <w:tc>
          <w:tcPr>
            <w:tcW w:type="dxa" w:w="2770"/>
            <w:vAlign w:val="center"/>
          </w:tcPr>
          <w:p>
            <w:r>
              <w:t>Responsibility</w:t>
            </w:r>
          </w:p>
        </w:tc>
        <w:tc>
          <w:tcPr>
            <w:tcW w:type="dxa" w:w="2770"/>
            <w:vAlign w:val="center"/>
          </w:tcPr>
          <w:p>
            <w:r>
              <w:t>Key Output</w:t>
            </w:r>
          </w:p>
        </w:tc>
      </w:tr>
      <w:tr>
        <w:tc>
          <w:tcPr>
            <w:tcW w:type="dxa" w:w="2770"/>
            <w:vAlign w:val="center"/>
          </w:tcPr>
          <w:p>
            <w:r>
              <w:t>run.py</w:t>
            </w:r>
          </w:p>
        </w:tc>
        <w:tc>
          <w:tcPr>
            <w:tcW w:type="dxa" w:w="2770"/>
            <w:vAlign w:val="center"/>
          </w:tcPr>
          <w:p>
            <w:r>
              <w:t>Starts the local application</w:t>
            </w:r>
          </w:p>
        </w:tc>
        <w:tc>
          <w:tcPr>
            <w:tcW w:type="dxa" w:w="2770"/>
            <w:vAlign w:val="center"/>
          </w:tcPr>
          <w:p>
            <w:r>
              <w:t>One-command launcher</w:t>
            </w:r>
          </w:p>
        </w:tc>
      </w:tr>
      <w:tr>
        <w:tc>
          <w:tcPr>
            <w:tcW w:type="dxa" w:w="2770"/>
            <w:vAlign w:val="center"/>
          </w:tcPr>
          <w:p>
            <w:r>
              <w:t>src/sentineltrace/analyzer.py</w:t>
            </w:r>
          </w:p>
        </w:tc>
        <w:tc>
          <w:tcPr>
            <w:tcW w:type="dxa" w:w="2770"/>
            <w:vAlign w:val="center"/>
          </w:tcPr>
          <w:p>
            <w:r>
              <w:t>Parses, detects, and correlates events</w:t>
            </w:r>
          </w:p>
        </w:tc>
        <w:tc>
          <w:tcPr>
            <w:tcW w:type="dxa" w:w="2770"/>
            <w:vAlign w:val="center"/>
          </w:tcPr>
          <w:p>
            <w:r>
              <w:t>JSON-ready analysis report</w:t>
            </w:r>
          </w:p>
        </w:tc>
      </w:tr>
      <w:tr>
        <w:tc>
          <w:tcPr>
            <w:tcW w:type="dxa" w:w="2770"/>
            <w:vAlign w:val="center"/>
          </w:tcPr>
          <w:p>
            <w:r>
              <w:t>src/sentineltrace/rules.py</w:t>
            </w:r>
          </w:p>
        </w:tc>
        <w:tc>
          <w:tcPr>
            <w:tcW w:type="dxa" w:w="2770"/>
            <w:vAlign w:val="center"/>
          </w:tcPr>
          <w:p>
            <w:r>
              <w:t>Stores documented rule metadata and weights</w:t>
            </w:r>
          </w:p>
        </w:tc>
        <w:tc>
          <w:tcPr>
            <w:tcW w:type="dxa" w:w="2770"/>
            <w:vAlign w:val="center"/>
          </w:tcPr>
          <w:p>
            <w:r>
              <w:t>Auditable rule catalogue</w:t>
            </w:r>
          </w:p>
        </w:tc>
      </w:tr>
      <w:tr>
        <w:tc>
          <w:tcPr>
            <w:tcW w:type="dxa" w:w="2770"/>
            <w:vAlign w:val="center"/>
          </w:tcPr>
          <w:p>
            <w:r>
              <w:t>src/sentineltrace/server.py</w:t>
            </w:r>
          </w:p>
        </w:tc>
        <w:tc>
          <w:tcPr>
            <w:tcW w:type="dxa" w:w="2770"/>
            <w:vAlign w:val="center"/>
          </w:tcPr>
          <w:p>
            <w:r>
              <w:t>Validates HTTP input and serves local routes</w:t>
            </w:r>
          </w:p>
        </w:tc>
        <w:tc>
          <w:tcPr>
            <w:tcW w:type="dxa" w:w="2770"/>
            <w:vAlign w:val="center"/>
          </w:tcPr>
          <w:p>
            <w:r>
              <w:t>Local dashboard API</w:t>
            </w:r>
          </w:p>
        </w:tc>
      </w:tr>
      <w:tr>
        <w:tc>
          <w:tcPr>
            <w:tcW w:type="dxa" w:w="2770"/>
            <w:vAlign w:val="center"/>
          </w:tcPr>
          <w:p>
            <w:r>
              <w:t>web/index.html and tests/</w:t>
            </w:r>
          </w:p>
        </w:tc>
        <w:tc>
          <w:tcPr>
            <w:tcW w:type="dxa" w:w="2770"/>
            <w:vAlign w:val="center"/>
          </w:tcPr>
          <w:p>
            <w:r>
              <w:t>Dashboard interface and automated checks</w:t>
            </w:r>
          </w:p>
        </w:tc>
        <w:tc>
          <w:tcPr>
            <w:tcW w:type="dxa" w:w="2770"/>
            <w:vAlign w:val="center"/>
          </w:tcPr>
          <w:p>
            <w:r>
              <w:t>Evaluation evidence</w:t>
            </w:r>
          </w:p>
        </w:tc>
      </w:tr>
    </w:tbl>
    <w:p>
      <w:pPr>
        <w:pStyle w:val="Heading1"/>
      </w:pPr>
      <w:r>
        <w:t>4 2 Normalized Event Schema</w:t>
      </w:r>
    </w:p>
    <w:p>
      <w:r>
        <w:rPr>
          <w:b w:val="0"/>
        </w:rPr>
        <w:t>A parser retains source-specific evidence while providing consistent fields for later correlation. This avoids duplicating rule logic for each log source.</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Field</w:t>
            </w:r>
          </w:p>
        </w:tc>
        <w:tc>
          <w:tcPr>
            <w:tcW w:type="dxa" w:w="2770"/>
            <w:vAlign w:val="center"/>
          </w:tcPr>
          <w:p>
            <w:r>
              <w:t>Meaning</w:t>
            </w:r>
          </w:p>
        </w:tc>
        <w:tc>
          <w:tcPr>
            <w:tcW w:type="dxa" w:w="2770"/>
            <w:vAlign w:val="center"/>
          </w:tcPr>
          <w:p>
            <w:r>
              <w:t>Example</w:t>
            </w:r>
          </w:p>
        </w:tc>
      </w:tr>
      <w:tr>
        <w:tc>
          <w:tcPr>
            <w:tcW w:type="dxa" w:w="2770"/>
            <w:vAlign w:val="center"/>
          </w:tcPr>
          <w:p>
            <w:r>
              <w:t>index</w:t>
            </w:r>
          </w:p>
        </w:tc>
        <w:tc>
          <w:tcPr>
            <w:tcW w:type="dxa" w:w="2770"/>
            <w:vAlign w:val="center"/>
          </w:tcPr>
          <w:p>
            <w:r>
              <w:t>Original log line number</w:t>
            </w:r>
          </w:p>
        </w:tc>
        <w:tc>
          <w:tcPr>
            <w:tcW w:type="dxa" w:w="2770"/>
            <w:vAlign w:val="center"/>
          </w:tcPr>
          <w:p>
            <w:r>
              <w:t>10</w:t>
            </w:r>
          </w:p>
        </w:tc>
      </w:tr>
      <w:tr>
        <w:tc>
          <w:tcPr>
            <w:tcW w:type="dxa" w:w="2770"/>
            <w:vAlign w:val="center"/>
          </w:tcPr>
          <w:p>
            <w:r>
              <w:t>source</w:t>
            </w:r>
          </w:p>
        </w:tc>
        <w:tc>
          <w:tcPr>
            <w:tcW w:type="dxa" w:w="2770"/>
            <w:vAlign w:val="center"/>
          </w:tcPr>
          <w:p>
            <w:r>
              <w:t>Recognized log family</w:t>
            </w:r>
          </w:p>
        </w:tc>
        <w:tc>
          <w:tcPr>
            <w:tcW w:type="dxa" w:w="2770"/>
            <w:vAlign w:val="center"/>
          </w:tcPr>
          <w:p>
            <w:r>
              <w:t>web or auth</w:t>
            </w:r>
          </w:p>
        </w:tc>
      </w:tr>
      <w:tr>
        <w:tc>
          <w:tcPr>
            <w:tcW w:type="dxa" w:w="2770"/>
            <w:vAlign w:val="center"/>
          </w:tcPr>
          <w:p>
            <w:r>
              <w:t>ip</w:t>
            </w:r>
          </w:p>
        </w:tc>
        <w:tc>
          <w:tcPr>
            <w:tcW w:type="dxa" w:w="2770"/>
            <w:vAlign w:val="center"/>
          </w:tcPr>
          <w:p>
            <w:r>
              <w:t>Observed source address</w:t>
            </w:r>
          </w:p>
        </w:tc>
        <w:tc>
          <w:tcPr>
            <w:tcW w:type="dxa" w:w="2770"/>
            <w:vAlign w:val="center"/>
          </w:tcPr>
          <w:p>
            <w:r>
              <w:t>203.0.113.45</w:t>
            </w:r>
          </w:p>
        </w:tc>
      </w:tr>
      <w:tr>
        <w:tc>
          <w:tcPr>
            <w:tcW w:type="dxa" w:w="2770"/>
            <w:vAlign w:val="center"/>
          </w:tcPr>
          <w:p>
            <w:r>
              <w:t>time</w:t>
            </w:r>
          </w:p>
        </w:tc>
        <w:tc>
          <w:tcPr>
            <w:tcW w:type="dxa" w:w="2770"/>
            <w:vAlign w:val="center"/>
          </w:tcPr>
          <w:p>
            <w:r>
              <w:t>Source timestamp string</w:t>
            </w:r>
          </w:p>
        </w:tc>
        <w:tc>
          <w:tcPr>
            <w:tcW w:type="dxa" w:w="2770"/>
            <w:vAlign w:val="center"/>
          </w:tcPr>
          <w:p>
            <w:r>
              <w:t>Sep 14 10:03:10</w:t>
            </w:r>
          </w:p>
        </w:tc>
      </w:tr>
      <w:tr>
        <w:tc>
          <w:tcPr>
            <w:tcW w:type="dxa" w:w="2770"/>
            <w:vAlign w:val="center"/>
          </w:tcPr>
          <w:p>
            <w:r>
              <w:t>action</w:t>
            </w:r>
          </w:p>
        </w:tc>
        <w:tc>
          <w:tcPr>
            <w:tcW w:type="dxa" w:w="2770"/>
            <w:vAlign w:val="center"/>
          </w:tcPr>
          <w:p>
            <w:r>
              <w:t>Request method or login</w:t>
            </w:r>
          </w:p>
        </w:tc>
        <w:tc>
          <w:tcPr>
            <w:tcW w:type="dxa" w:w="2770"/>
            <w:vAlign w:val="center"/>
          </w:tcPr>
          <w:p>
            <w:r>
              <w:t>GET or login</w:t>
            </w:r>
          </w:p>
        </w:tc>
      </w:tr>
      <w:tr>
        <w:tc>
          <w:tcPr>
            <w:tcW w:type="dxa" w:w="2770"/>
            <w:vAlign w:val="center"/>
          </w:tcPr>
          <w:p>
            <w:r>
              <w:t>path or outcome</w:t>
            </w:r>
          </w:p>
        </w:tc>
        <w:tc>
          <w:tcPr>
            <w:tcW w:type="dxa" w:w="2770"/>
            <w:vAlign w:val="center"/>
          </w:tcPr>
          <w:p>
            <w:r>
              <w:t>Source-specific attribute</w:t>
            </w:r>
          </w:p>
        </w:tc>
        <w:tc>
          <w:tcPr>
            <w:tcW w:type="dxa" w:w="2770"/>
            <w:vAlign w:val="center"/>
          </w:tcPr>
          <w:p>
            <w:r>
              <w:t>download path or failed</w:t>
            </w:r>
          </w:p>
        </w:tc>
      </w:tr>
      <w:tr>
        <w:tc>
          <w:tcPr>
            <w:tcW w:type="dxa" w:w="2770"/>
            <w:vAlign w:val="center"/>
          </w:tcPr>
          <w:p>
            <w:r>
              <w:t>raw</w:t>
            </w:r>
          </w:p>
        </w:tc>
        <w:tc>
          <w:tcPr>
            <w:tcW w:type="dxa" w:w="2770"/>
            <w:vAlign w:val="center"/>
          </w:tcPr>
          <w:p>
            <w:r>
              <w:t>Original line retained locally</w:t>
            </w:r>
          </w:p>
        </w:tc>
        <w:tc>
          <w:tcPr>
            <w:tcW w:type="dxa" w:w="2770"/>
            <w:vAlign w:val="center"/>
          </w:tcPr>
          <w:p>
            <w:r>
              <w:t>Full authorized log line</w:t>
            </w:r>
          </w:p>
        </w:tc>
      </w:tr>
    </w:tbl>
    <w:p>
      <w:pPr>
        <w:pStyle w:val="Heading1"/>
      </w:pPr>
      <w:r>
        <w:t>4 3 Finding Schema and Auditability</w:t>
      </w:r>
    </w:p>
    <w:p>
      <w:r>
        <w:rPr>
          <w:b w:val="0"/>
        </w:rPr>
        <w:t>Every finding uses an identifier formed from the source line and rule. The report also contains a short SHA 256 analysis identifier derived from the supplied text. The identifier helps a reviewer reproduce the result while avoiding automatic transmission of the full log.</w:t>
      </w:r>
    </w:p>
    <w:tbl>
      <w:tblPr>
        <w:tblStyle w:val="TableGrid"/>
        <w:tblW w:type="auto" w:w="0"/>
        <w:jc w:val="center"/>
        <w:tblLook w:firstColumn="1" w:firstRow="1" w:lastColumn="0" w:lastRow="0" w:noHBand="0" w:noVBand="1" w:val="04A0"/>
      </w:tblPr>
      <w:tblGrid>
        <w:gridCol w:w="4154"/>
        <w:gridCol w:w="4154"/>
      </w:tblGrid>
      <w:tr>
        <w:tc>
          <w:tcPr>
            <w:tcW w:type="dxa" w:w="4154"/>
            <w:vAlign w:val="center"/>
          </w:tcPr>
          <w:p>
            <w:r>
              <w:t>Field</w:t>
            </w:r>
          </w:p>
        </w:tc>
        <w:tc>
          <w:tcPr>
            <w:tcW w:type="dxa" w:w="4154"/>
            <w:vAlign w:val="center"/>
          </w:tcPr>
          <w:p>
            <w:r>
              <w:t>Purpose</w:t>
            </w:r>
          </w:p>
        </w:tc>
      </w:tr>
      <w:tr>
        <w:tc>
          <w:tcPr>
            <w:tcW w:type="dxa" w:w="4154"/>
            <w:vAlign w:val="center"/>
          </w:tcPr>
          <w:p>
            <w:r>
              <w:t>id</w:t>
            </w:r>
          </w:p>
        </w:tc>
        <w:tc>
          <w:tcPr>
            <w:tcW w:type="dxa" w:w="4154"/>
            <w:vAlign w:val="center"/>
          </w:tcPr>
          <w:p>
            <w:r>
              <w:t>Stable visual reference for a finding</w:t>
            </w:r>
          </w:p>
        </w:tc>
      </w:tr>
      <w:tr>
        <w:tc>
          <w:tcPr>
            <w:tcW w:type="dxa" w:w="4154"/>
            <w:vAlign w:val="center"/>
          </w:tcPr>
          <w:p>
            <w:r>
              <w:t>rule</w:t>
            </w:r>
          </w:p>
        </w:tc>
        <w:tc>
          <w:tcPr>
            <w:tcW w:type="dxa" w:w="4154"/>
            <w:vAlign w:val="center"/>
          </w:tcPr>
          <w:p>
            <w:r>
              <w:t>Detection category</w:t>
            </w:r>
          </w:p>
        </w:tc>
      </w:tr>
      <w:tr>
        <w:tc>
          <w:tcPr>
            <w:tcW w:type="dxa" w:w="4154"/>
            <w:vAlign w:val="center"/>
          </w:tcPr>
          <w:p>
            <w:r>
              <w:t>severity and weight</w:t>
            </w:r>
          </w:p>
        </w:tc>
        <w:tc>
          <w:tcPr>
            <w:tcW w:type="dxa" w:w="4154"/>
            <w:vAlign w:val="center"/>
          </w:tcPr>
          <w:p>
            <w:r>
              <w:t>Priority inputs</w:t>
            </w:r>
          </w:p>
        </w:tc>
      </w:tr>
      <w:tr>
        <w:tc>
          <w:tcPr>
            <w:tcW w:type="dxa" w:w="4154"/>
            <w:vAlign w:val="center"/>
          </w:tcPr>
          <w:p>
            <w:r>
              <w:t>confidence</w:t>
            </w:r>
          </w:p>
        </w:tc>
        <w:tc>
          <w:tcPr>
            <w:tcW w:type="dxa" w:w="4154"/>
            <w:vAlign w:val="center"/>
          </w:tcPr>
          <w:p>
            <w:r>
              <w:t>Caution level for analyst interpretation</w:t>
            </w:r>
          </w:p>
        </w:tc>
      </w:tr>
      <w:tr>
        <w:tc>
          <w:tcPr>
            <w:tcW w:type="dxa" w:w="4154"/>
            <w:vAlign w:val="center"/>
          </w:tcPr>
          <w:p>
            <w:r>
              <w:t>mitre</w:t>
            </w:r>
          </w:p>
        </w:tc>
        <w:tc>
          <w:tcPr>
            <w:tcW w:type="dxa" w:w="4154"/>
            <w:vAlign w:val="center"/>
          </w:tcPr>
          <w:p>
            <w:r>
              <w:t>Shared behavioural terminology</w:t>
            </w:r>
          </w:p>
        </w:tc>
      </w:tr>
      <w:tr>
        <w:tc>
          <w:tcPr>
            <w:tcW w:type="dxa" w:w="4154"/>
            <w:vAlign w:val="center"/>
          </w:tcPr>
          <w:p>
            <w:r>
              <w:t>evidence</w:t>
            </w:r>
          </w:p>
        </w:tc>
        <w:tc>
          <w:tcPr>
            <w:tcW w:type="dxa" w:w="4154"/>
            <w:vAlign w:val="center"/>
          </w:tcPr>
          <w:p>
            <w:r>
              <w:t>Observed reason for the match</w:t>
            </w:r>
          </w:p>
        </w:tc>
      </w:tr>
      <w:tr>
        <w:tc>
          <w:tcPr>
            <w:tcW w:type="dxa" w:w="4154"/>
            <w:vAlign w:val="center"/>
          </w:tcPr>
          <w:p>
            <w:r>
              <w:t>recommendation</w:t>
            </w:r>
          </w:p>
        </w:tc>
        <w:tc>
          <w:tcPr>
            <w:tcW w:type="dxa" w:w="4154"/>
            <w:vAlign w:val="center"/>
          </w:tcPr>
          <w:p>
            <w:r>
              <w:t>Suggested next analyst action</w:t>
            </w:r>
          </w:p>
        </w:tc>
      </w:tr>
      <w:tr>
        <w:tc>
          <w:tcPr>
            <w:tcW w:type="dxa" w:w="4154"/>
            <w:vAlign w:val="center"/>
          </w:tcPr>
          <w:p>
            <w:r>
              <w:t>line and time</w:t>
            </w:r>
          </w:p>
        </w:tc>
        <w:tc>
          <w:tcPr>
            <w:tcW w:type="dxa" w:w="4154"/>
            <w:vAlign w:val="center"/>
          </w:tcPr>
          <w:p>
            <w:r>
              <w:t>Traceback to source context</w:t>
            </w:r>
          </w:p>
        </w:tc>
      </w:tr>
    </w:tbl>
    <w:p>
      <w:pPr>
        <w:pStyle w:val="Heading1"/>
      </w:pPr>
      <w:r>
        <w:t>4 4 Correlation and Risk Calculation</w:t>
      </w:r>
    </w:p>
    <w:p>
      <w:r>
        <w:t>Correlation groups all findings by source IP. The risk score adds the documented weight of each triggered rule category once and caps the result at 100. For the demonstration IP 203.0.113.45, SSH brute force carries weight 35 and login after failures carries weight 45, producing 80. The score is deliberately a prioritization heuristic rather than a measure of probability, loss, or impact.</w:t>
      </w:r>
    </w:p>
    <w:p>
      <w:pPr>
        <w:pStyle w:val="Heading1"/>
      </w:pPr>
      <w:r>
        <w:t>4 Rule Analysis SSH Brute Force</w:t>
      </w:r>
    </w:p>
    <w:p>
      <w:r>
        <w:rPr>
          <w:b w:val="0"/>
        </w:rPr>
        <w:t>Five or more failed SSH password attempts from an IP create a high severity finding. It maps to T1110.001. The recommendation is temporary blocking and authentication control review. A legitimate administrator who mistypes a password can cause a false positive; analyst context is required.</w:t>
      </w:r>
    </w:p>
    <w:p>
      <w:r>
        <w:rPr>
          <w:b w:val="0"/>
        </w:rPr>
        <w:t>Implementation note: rule conditions and response text are held in a central catalogue. This allows a reviewer to inspect, modify, and test a single source of truth during viva.</w:t>
      </w:r>
    </w:p>
    <w:p>
      <w:pPr>
        <w:pStyle w:val="Heading1"/>
      </w:pPr>
      <w:r>
        <w:t>4 Rule Analysis Successful Login After Failures</w:t>
      </w:r>
    </w:p>
    <w:p>
      <w:r>
        <w:rPr>
          <w:b w:val="0"/>
        </w:rPr>
        <w:t>An accepted SSH login after five failures is a critical correlation indicator mapped to T1078. The tool recommends validating the account and reviewing the session. It cannot prove credential compromise because a legitimate user can also make prior mistakes.</w:t>
      </w:r>
    </w:p>
    <w:p>
      <w:r>
        <w:rPr>
          <w:b w:val="0"/>
        </w:rPr>
        <w:t>Implementation note: rule conditions and response text are held in a central catalogue. This allows a reviewer to inspect, modify, and test a single source of truth during viva.</w:t>
      </w:r>
    </w:p>
    <w:p>
      <w:pPr>
        <w:pStyle w:val="Heading1"/>
      </w:pPr>
      <w:r>
        <w:t>4 Rule Analysis Path Traversal</w:t>
      </w:r>
    </w:p>
    <w:p>
      <w:r>
        <w:rPr>
          <w:b w:val="0"/>
        </w:rPr>
        <w:t>A web path containing traversal sequences produces a high severity T1190 indicator. The analyst should review input validation and related web logs. Encodings and harmless test traffic can create false positives.</w:t>
      </w:r>
    </w:p>
    <w:p>
      <w:r>
        <w:rPr>
          <w:b w:val="0"/>
        </w:rPr>
        <w:t>Implementation note: rule conditions and response text are held in a central catalogue. This allows a reviewer to inspect, modify, and test a single source of truth during viva.</w:t>
      </w:r>
    </w:p>
    <w:p>
      <w:pPr>
        <w:pStyle w:val="Heading1"/>
      </w:pPr>
      <w:r>
        <w:t>4 Rule Analysis SQL Injection Indicator</w:t>
      </w:r>
    </w:p>
    <w:p>
      <w:r>
        <w:rPr>
          <w:b w:val="0"/>
        </w:rPr>
        <w:t>A request containing selected SQL keywords or common encoded patterns produces a high severity T1190 finding with low confidence. The lower confidence prevents an analyst from treating a keyword alone as proof.</w:t>
      </w:r>
    </w:p>
    <w:p>
      <w:r>
        <w:rPr>
          <w:b w:val="0"/>
        </w:rPr>
        <w:t>Implementation note: rule conditions and response text are held in a central catalogue. This allows a reviewer to inspect, modify, and test a single source of truth during viva.</w:t>
      </w:r>
    </w:p>
    <w:p>
      <w:pPr>
        <w:pStyle w:val="Heading1"/>
      </w:pPr>
      <w:r>
        <w:t>4 Rule Analysis Command Injection Indicator</w:t>
      </w:r>
    </w:p>
    <w:p>
      <w:r>
        <w:rPr>
          <w:b w:val="0"/>
        </w:rPr>
        <w:t>Shell separators or suspicious utility fragments in a request produce a critical T1059 indicator. The response recommendation directs a confirmed incident toward service isolation and log preservation.</w:t>
      </w:r>
    </w:p>
    <w:p>
      <w:r>
        <w:rPr>
          <w:b w:val="0"/>
        </w:rPr>
        <w:t>Implementation note: rule conditions and response text are held in a central catalogue. This allows a reviewer to inspect, modify, and test a single source of truth during viva.</w:t>
      </w:r>
    </w:p>
    <w:p>
      <w:pPr>
        <w:pStyle w:val="Heading1"/>
      </w:pPr>
      <w:r>
        <w:t>4 Rule Analysis Web Scanning</w:t>
      </w:r>
    </w:p>
    <w:p>
      <w:r>
        <w:rPr>
          <w:b w:val="0"/>
        </w:rPr>
        <w:t>Requests for at least three sensitive path families such as environment files, Git metadata, or administration routes produce a medium T1595 indication. It distinguishes reconnaissance style behavior from confirmed exploitation.</w:t>
      </w:r>
    </w:p>
    <w:p>
      <w:r>
        <w:rPr>
          <w:b w:val="0"/>
        </w:rPr>
        <w:t>Implementation note: rule conditions and response text are held in a central catalogue. This allows a reviewer to inspect, modify, and test a single source of truth during viva.</w:t>
      </w:r>
    </w:p>
    <w:p>
      <w:pPr>
        <w:pStyle w:val="Heading1"/>
      </w:pPr>
      <w:r>
        <w:t>4 6 Rule Catalogue Summary</w:t>
      </w:r>
    </w:p>
    <w:p>
      <w:r>
        <w:rPr>
          <w:b w:val="0"/>
        </w:rPr>
        <w:t>Table 4.6 consolidates the implemented detection catalogue and its analyst-facing response. It enables an evaluator to compare the rule purpose, severity, mapping, and limitations without reading source code.</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vAlign w:val="center"/>
          </w:tcPr>
          <w:p>
            <w:r>
              <w:t>Rule</w:t>
            </w:r>
          </w:p>
        </w:tc>
        <w:tc>
          <w:tcPr>
            <w:tcW w:type="dxa" w:w="1662"/>
            <w:vAlign w:val="center"/>
          </w:tcPr>
          <w:p>
            <w:r>
              <w:t>Severity</w:t>
            </w:r>
          </w:p>
        </w:tc>
        <w:tc>
          <w:tcPr>
            <w:tcW w:type="dxa" w:w="1662"/>
            <w:vAlign w:val="center"/>
          </w:tcPr>
          <w:p>
            <w:r>
              <w:t>MITRE</w:t>
            </w:r>
          </w:p>
        </w:tc>
        <w:tc>
          <w:tcPr>
            <w:tcW w:type="dxa" w:w="1662"/>
            <w:vAlign w:val="center"/>
          </w:tcPr>
          <w:p>
            <w:r>
              <w:t>Confidence</w:t>
            </w:r>
          </w:p>
        </w:tc>
        <w:tc>
          <w:tcPr>
            <w:tcW w:type="dxa" w:w="1662"/>
            <w:vAlign w:val="center"/>
          </w:tcPr>
          <w:p>
            <w:r>
              <w:t>Weight</w:t>
            </w:r>
          </w:p>
        </w:tc>
      </w:tr>
      <w:tr>
        <w:tc>
          <w:tcPr>
            <w:tcW w:type="dxa" w:w="1662"/>
            <w:vAlign w:val="center"/>
          </w:tcPr>
          <w:p>
            <w:r>
              <w:t>SSH brute force</w:t>
            </w:r>
          </w:p>
        </w:tc>
        <w:tc>
          <w:tcPr>
            <w:tcW w:type="dxa" w:w="1662"/>
            <w:vAlign w:val="center"/>
          </w:tcPr>
          <w:p>
            <w:r>
              <w:t>High</w:t>
            </w:r>
          </w:p>
        </w:tc>
        <w:tc>
          <w:tcPr>
            <w:tcW w:type="dxa" w:w="1662"/>
            <w:vAlign w:val="center"/>
          </w:tcPr>
          <w:p>
            <w:r>
              <w:t>T1110.001</w:t>
            </w:r>
          </w:p>
        </w:tc>
        <w:tc>
          <w:tcPr>
            <w:tcW w:type="dxa" w:w="1662"/>
            <w:vAlign w:val="center"/>
          </w:tcPr>
          <w:p>
            <w:r>
              <w:t>High</w:t>
            </w:r>
          </w:p>
        </w:tc>
        <w:tc>
          <w:tcPr>
            <w:tcW w:type="dxa" w:w="1662"/>
            <w:vAlign w:val="center"/>
          </w:tcPr>
          <w:p>
            <w:r>
              <w:t>35</w:t>
            </w:r>
          </w:p>
        </w:tc>
      </w:tr>
      <w:tr>
        <w:tc>
          <w:tcPr>
            <w:tcW w:type="dxa" w:w="1662"/>
            <w:vAlign w:val="center"/>
          </w:tcPr>
          <w:p>
            <w:r>
              <w:t>Login after failures</w:t>
            </w:r>
          </w:p>
        </w:tc>
        <w:tc>
          <w:tcPr>
            <w:tcW w:type="dxa" w:w="1662"/>
            <w:vAlign w:val="center"/>
          </w:tcPr>
          <w:p>
            <w:r>
              <w:t>Critical</w:t>
            </w:r>
          </w:p>
        </w:tc>
        <w:tc>
          <w:tcPr>
            <w:tcW w:type="dxa" w:w="1662"/>
            <w:vAlign w:val="center"/>
          </w:tcPr>
          <w:p>
            <w:r>
              <w:t>T1078</w:t>
            </w:r>
          </w:p>
        </w:tc>
        <w:tc>
          <w:tcPr>
            <w:tcW w:type="dxa" w:w="1662"/>
            <w:vAlign w:val="center"/>
          </w:tcPr>
          <w:p>
            <w:r>
              <w:t>Medium</w:t>
            </w:r>
          </w:p>
        </w:tc>
        <w:tc>
          <w:tcPr>
            <w:tcW w:type="dxa" w:w="1662"/>
            <w:vAlign w:val="center"/>
          </w:tcPr>
          <w:p>
            <w:r>
              <w:t>45</w:t>
            </w:r>
          </w:p>
        </w:tc>
      </w:tr>
      <w:tr>
        <w:tc>
          <w:tcPr>
            <w:tcW w:type="dxa" w:w="1662"/>
            <w:vAlign w:val="center"/>
          </w:tcPr>
          <w:p>
            <w:r>
              <w:t>Path traversal</w:t>
            </w:r>
          </w:p>
        </w:tc>
        <w:tc>
          <w:tcPr>
            <w:tcW w:type="dxa" w:w="1662"/>
            <w:vAlign w:val="center"/>
          </w:tcPr>
          <w:p>
            <w:r>
              <w:t>High</w:t>
            </w:r>
          </w:p>
        </w:tc>
        <w:tc>
          <w:tcPr>
            <w:tcW w:type="dxa" w:w="1662"/>
            <w:vAlign w:val="center"/>
          </w:tcPr>
          <w:p>
            <w:r>
              <w:t>T1190</w:t>
            </w:r>
          </w:p>
        </w:tc>
        <w:tc>
          <w:tcPr>
            <w:tcW w:type="dxa" w:w="1662"/>
            <w:vAlign w:val="center"/>
          </w:tcPr>
          <w:p>
            <w:r>
              <w:t>Medium</w:t>
            </w:r>
          </w:p>
        </w:tc>
        <w:tc>
          <w:tcPr>
            <w:tcW w:type="dxa" w:w="1662"/>
            <w:vAlign w:val="center"/>
          </w:tcPr>
          <w:p>
            <w:r>
              <w:t>25</w:t>
            </w:r>
          </w:p>
        </w:tc>
      </w:tr>
      <w:tr>
        <w:tc>
          <w:tcPr>
            <w:tcW w:type="dxa" w:w="1662"/>
            <w:vAlign w:val="center"/>
          </w:tcPr>
          <w:p>
            <w:r>
              <w:t>SQL injection indicator</w:t>
            </w:r>
          </w:p>
        </w:tc>
        <w:tc>
          <w:tcPr>
            <w:tcW w:type="dxa" w:w="1662"/>
            <w:vAlign w:val="center"/>
          </w:tcPr>
          <w:p>
            <w:r>
              <w:t>High</w:t>
            </w:r>
          </w:p>
        </w:tc>
        <w:tc>
          <w:tcPr>
            <w:tcW w:type="dxa" w:w="1662"/>
            <w:vAlign w:val="center"/>
          </w:tcPr>
          <w:p>
            <w:r>
              <w:t>T1190</w:t>
            </w:r>
          </w:p>
        </w:tc>
        <w:tc>
          <w:tcPr>
            <w:tcW w:type="dxa" w:w="1662"/>
            <w:vAlign w:val="center"/>
          </w:tcPr>
          <w:p>
            <w:r>
              <w:t>Low</w:t>
            </w:r>
          </w:p>
        </w:tc>
        <w:tc>
          <w:tcPr>
            <w:tcW w:type="dxa" w:w="1662"/>
            <w:vAlign w:val="center"/>
          </w:tcPr>
          <w:p>
            <w:r>
              <w:t>25</w:t>
            </w:r>
          </w:p>
        </w:tc>
      </w:tr>
      <w:tr>
        <w:tc>
          <w:tcPr>
            <w:tcW w:type="dxa" w:w="1662"/>
            <w:vAlign w:val="center"/>
          </w:tcPr>
          <w:p>
            <w:r>
              <w:t>Command injection</w:t>
            </w:r>
          </w:p>
        </w:tc>
        <w:tc>
          <w:tcPr>
            <w:tcW w:type="dxa" w:w="1662"/>
            <w:vAlign w:val="center"/>
          </w:tcPr>
          <w:p>
            <w:r>
              <w:t>Critical</w:t>
            </w:r>
          </w:p>
        </w:tc>
        <w:tc>
          <w:tcPr>
            <w:tcW w:type="dxa" w:w="1662"/>
            <w:vAlign w:val="center"/>
          </w:tcPr>
          <w:p>
            <w:r>
              <w:t>T1059</w:t>
            </w:r>
          </w:p>
        </w:tc>
        <w:tc>
          <w:tcPr>
            <w:tcW w:type="dxa" w:w="1662"/>
            <w:vAlign w:val="center"/>
          </w:tcPr>
          <w:p>
            <w:r>
              <w:t>Medium</w:t>
            </w:r>
          </w:p>
        </w:tc>
        <w:tc>
          <w:tcPr>
            <w:tcW w:type="dxa" w:w="1662"/>
            <w:vAlign w:val="center"/>
          </w:tcPr>
          <w:p>
            <w:r>
              <w:t>35</w:t>
            </w:r>
          </w:p>
        </w:tc>
      </w:tr>
      <w:tr>
        <w:tc>
          <w:tcPr>
            <w:tcW w:type="dxa" w:w="1662"/>
            <w:vAlign w:val="center"/>
          </w:tcPr>
          <w:p>
            <w:r>
              <w:t>Web scanning</w:t>
            </w:r>
          </w:p>
        </w:tc>
        <w:tc>
          <w:tcPr>
            <w:tcW w:type="dxa" w:w="1662"/>
            <w:vAlign w:val="center"/>
          </w:tcPr>
          <w:p>
            <w:r>
              <w:t>Medium</w:t>
            </w:r>
          </w:p>
        </w:tc>
        <w:tc>
          <w:tcPr>
            <w:tcW w:type="dxa" w:w="1662"/>
            <w:vAlign w:val="center"/>
          </w:tcPr>
          <w:p>
            <w:r>
              <w:t>T1595</w:t>
            </w:r>
          </w:p>
        </w:tc>
        <w:tc>
          <w:tcPr>
            <w:tcW w:type="dxa" w:w="1662"/>
            <w:vAlign w:val="center"/>
          </w:tcPr>
          <w:p>
            <w:r>
              <w:t>Medium</w:t>
            </w:r>
          </w:p>
        </w:tc>
        <w:tc>
          <w:tcPr>
            <w:tcW w:type="dxa" w:w="1662"/>
            <w:vAlign w:val="center"/>
          </w:tcPr>
          <w:p>
            <w:r>
              <w:t>15</w:t>
            </w:r>
          </w:p>
        </w:tc>
      </w:tr>
    </w:tbl>
    <w:p>
      <w:pPr>
        <w:pStyle w:val="Heading1"/>
      </w:pPr>
      <w:r>
        <w:t>4 7 False Positive Considerations</w:t>
      </w:r>
    </w:p>
    <w:p>
      <w:r>
        <w:rPr>
          <w:b w:val="0"/>
        </w:rPr>
        <w:t>A transparent detector must document expected sources of error. The following matrix guides human validation rather than treating a rule hit as a final judgement.</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Rule</w:t>
            </w:r>
          </w:p>
        </w:tc>
        <w:tc>
          <w:tcPr>
            <w:tcW w:type="dxa" w:w="2770"/>
            <w:vAlign w:val="center"/>
          </w:tcPr>
          <w:p>
            <w:r>
              <w:t>Possible Benign Explanation</w:t>
            </w:r>
          </w:p>
        </w:tc>
        <w:tc>
          <w:tcPr>
            <w:tcW w:type="dxa" w:w="2770"/>
            <w:vAlign w:val="center"/>
          </w:tcPr>
          <w:p>
            <w:r>
              <w:t>Analyst Validation</w:t>
            </w:r>
          </w:p>
        </w:tc>
      </w:tr>
      <w:tr>
        <w:tc>
          <w:tcPr>
            <w:tcW w:type="dxa" w:w="2770"/>
            <w:vAlign w:val="center"/>
          </w:tcPr>
          <w:p>
            <w:r>
              <w:t>SSH brute force</w:t>
            </w:r>
          </w:p>
        </w:tc>
        <w:tc>
          <w:tcPr>
            <w:tcW w:type="dxa" w:w="2770"/>
            <w:vAlign w:val="center"/>
          </w:tcPr>
          <w:p>
            <w:r>
              <w:t>User repeatedly mistypes password</w:t>
            </w:r>
          </w:p>
        </w:tc>
        <w:tc>
          <w:tcPr>
            <w:tcW w:type="dxa" w:w="2770"/>
            <w:vAlign w:val="center"/>
          </w:tcPr>
          <w:p>
            <w:r>
              <w:t>Confirm account owner and time window</w:t>
            </w:r>
          </w:p>
        </w:tc>
      </w:tr>
      <w:tr>
        <w:tc>
          <w:tcPr>
            <w:tcW w:type="dxa" w:w="2770"/>
            <w:vAlign w:val="center"/>
          </w:tcPr>
          <w:p>
            <w:r>
              <w:t>Successful login</w:t>
            </w:r>
          </w:p>
        </w:tc>
        <w:tc>
          <w:tcPr>
            <w:tcW w:type="dxa" w:w="2770"/>
            <w:vAlign w:val="center"/>
          </w:tcPr>
          <w:p>
            <w:r>
              <w:t>Legitimate user follows mistakes</w:t>
            </w:r>
          </w:p>
        </w:tc>
        <w:tc>
          <w:tcPr>
            <w:tcW w:type="dxa" w:w="2770"/>
            <w:vAlign w:val="center"/>
          </w:tcPr>
          <w:p>
            <w:r>
              <w:t>Review identity and session details</w:t>
            </w:r>
          </w:p>
        </w:tc>
      </w:tr>
      <w:tr>
        <w:tc>
          <w:tcPr>
            <w:tcW w:type="dxa" w:w="2770"/>
            <w:vAlign w:val="center"/>
          </w:tcPr>
          <w:p>
            <w:r>
              <w:t>Traversal</w:t>
            </w:r>
          </w:p>
        </w:tc>
        <w:tc>
          <w:tcPr>
            <w:tcW w:type="dxa" w:w="2770"/>
            <w:vAlign w:val="center"/>
          </w:tcPr>
          <w:p>
            <w:r>
              <w:t>Authorized test or malformed link</w:t>
            </w:r>
          </w:p>
        </w:tc>
        <w:tc>
          <w:tcPr>
            <w:tcW w:type="dxa" w:w="2770"/>
            <w:vAlign w:val="center"/>
          </w:tcPr>
          <w:p>
            <w:r>
              <w:t>Check application context and status</w:t>
            </w:r>
          </w:p>
        </w:tc>
      </w:tr>
      <w:tr>
        <w:tc>
          <w:tcPr>
            <w:tcW w:type="dxa" w:w="2770"/>
            <w:vAlign w:val="center"/>
          </w:tcPr>
          <w:p>
            <w:r>
              <w:t>SQL indicator</w:t>
            </w:r>
          </w:p>
        </w:tc>
        <w:tc>
          <w:tcPr>
            <w:tcW w:type="dxa" w:w="2770"/>
            <w:vAlign w:val="center"/>
          </w:tcPr>
          <w:p>
            <w:r>
              <w:t>Search text or test traffic</w:t>
            </w:r>
          </w:p>
        </w:tc>
        <w:tc>
          <w:tcPr>
            <w:tcW w:type="dxa" w:w="2770"/>
            <w:vAlign w:val="center"/>
          </w:tcPr>
          <w:p>
            <w:r>
              <w:t>Inspect parameters and database logs</w:t>
            </w:r>
          </w:p>
        </w:tc>
      </w:tr>
      <w:tr>
        <w:tc>
          <w:tcPr>
            <w:tcW w:type="dxa" w:w="2770"/>
            <w:vAlign w:val="center"/>
          </w:tcPr>
          <w:p>
            <w:r>
              <w:t>Command injection</w:t>
            </w:r>
          </w:p>
        </w:tc>
        <w:tc>
          <w:tcPr>
            <w:tcW w:type="dxa" w:w="2770"/>
            <w:vAlign w:val="center"/>
          </w:tcPr>
          <w:p>
            <w:r>
              <w:t>Encoded legitimate content</w:t>
            </w:r>
          </w:p>
        </w:tc>
        <w:tc>
          <w:tcPr>
            <w:tcW w:type="dxa" w:w="2770"/>
            <w:vAlign w:val="center"/>
          </w:tcPr>
          <w:p>
            <w:r>
              <w:t>Confirm application behaviour</w:t>
            </w:r>
          </w:p>
        </w:tc>
      </w:tr>
      <w:tr>
        <w:tc>
          <w:tcPr>
            <w:tcW w:type="dxa" w:w="2770"/>
            <w:vAlign w:val="center"/>
          </w:tcPr>
          <w:p>
            <w:r>
              <w:t>Web scanning</w:t>
            </w:r>
          </w:p>
        </w:tc>
        <w:tc>
          <w:tcPr>
            <w:tcW w:type="dxa" w:w="2770"/>
            <w:vAlign w:val="center"/>
          </w:tcPr>
          <w:p>
            <w:r>
              <w:t>Vulnerability assessment</w:t>
            </w:r>
          </w:p>
        </w:tc>
        <w:tc>
          <w:tcPr>
            <w:tcW w:type="dxa" w:w="2770"/>
            <w:vAlign w:val="center"/>
          </w:tcPr>
          <w:p>
            <w:r>
              <w:t>Verify source authorization</w:t>
            </w:r>
          </w:p>
        </w:tc>
      </w:tr>
    </w:tbl>
    <w:p>
      <w:pPr>
        <w:pStyle w:val="Heading1"/>
      </w:pPr>
      <w:r>
        <w:t>4 8 Interface and Export</w:t>
      </w:r>
    </w:p>
    <w:p>
      <w:r>
        <w:rPr>
          <w:b w:val="0"/>
        </w:rPr>
        <w:t>The dashboard presents parsed event count, finding count, flagged entities, severity distribution, prioritized entities, and an explainable timeline. The user can download a JSON incident report that preserves findings and model limitations. The unique analysis identifier is a short SHA 256 digest of the supplied input, enabling reproducible reference without exporting the log automatically.</w:t>
      </w:r>
    </w:p>
    <w:p>
      <w:pPr>
        <w:pStyle w:val="Heading1"/>
      </w:pPr>
      <w:r>
        <w:t>Chapter 5 Testing and Validation</w:t>
      </w:r>
    </w:p>
    <w:p>
      <w:r>
        <w:rPr>
          <w:b w:val="0"/>
        </w:rPr>
        <w:t>Testing uses only synthetic safe inputs. The aim is functional validation of specified rules, not a claim of real world detection accuracy. Each test asserts visible output and is repeatable from the included sample data.</w:t>
      </w:r>
    </w:p>
    <w:p>
      <w:pPr>
        <w:pStyle w:val="Heading1"/>
      </w:pPr>
      <w:r>
        <w:t>5 1 Functional Test Cases</w:t>
      </w:r>
    </w:p>
    <w:p>
      <w:r>
        <w:rPr>
          <w:b w:val="0"/>
        </w:rPr>
        <w:t>Table 5.1 records the core functional test cases.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ID</w:t>
            </w:r>
          </w:p>
        </w:tc>
        <w:tc>
          <w:tcPr>
            <w:tcW w:type="dxa" w:w="2770"/>
            <w:vAlign w:val="center"/>
          </w:tcPr>
          <w:p>
            <w:r>
              <w:t>Input or Action</w:t>
            </w:r>
          </w:p>
        </w:tc>
        <w:tc>
          <w:tcPr>
            <w:tcW w:type="dxa" w:w="2770"/>
            <w:vAlign w:val="center"/>
          </w:tcPr>
          <w:p>
            <w:r>
              <w:t>Expected Result</w:t>
            </w:r>
          </w:p>
        </w:tc>
      </w:tr>
      <w:tr>
        <w:tc>
          <w:tcPr>
            <w:tcW w:type="dxa" w:w="2770"/>
            <w:vAlign w:val="center"/>
          </w:tcPr>
          <w:p>
            <w:r>
              <w:t>T01</w:t>
            </w:r>
          </w:p>
        </w:tc>
        <w:tc>
          <w:tcPr>
            <w:tcW w:type="dxa" w:w="2770"/>
            <w:vAlign w:val="center"/>
          </w:tcPr>
          <w:p>
            <w:r>
              <w:t>Demo corpus</w:t>
            </w:r>
          </w:p>
        </w:tc>
        <w:tc>
          <w:tcPr>
            <w:tcW w:type="dxa" w:w="2770"/>
            <w:vAlign w:val="center"/>
          </w:tcPr>
          <w:p>
            <w:r>
              <w:t>13 events parse and six rule categories fire</w:t>
            </w:r>
          </w:p>
        </w:tc>
      </w:tr>
      <w:tr>
        <w:tc>
          <w:tcPr>
            <w:tcW w:type="dxa" w:w="2770"/>
            <w:vAlign w:val="center"/>
          </w:tcPr>
          <w:p>
            <w:r>
              <w:t>T02</w:t>
            </w:r>
          </w:p>
        </w:tc>
        <w:tc>
          <w:tcPr>
            <w:tcW w:type="dxa" w:w="2770"/>
            <w:vAlign w:val="center"/>
          </w:tcPr>
          <w:p>
            <w:r>
              <w:t>Empty input</w:t>
            </w:r>
          </w:p>
        </w:tc>
        <w:tc>
          <w:tcPr>
            <w:tcW w:type="dxa" w:w="2770"/>
            <w:vAlign w:val="center"/>
          </w:tcPr>
          <w:p>
            <w:r>
              <w:t>Zero events and zero findings</w:t>
            </w:r>
          </w:p>
        </w:tc>
      </w:tr>
      <w:tr>
        <w:tc>
          <w:tcPr>
            <w:tcW w:type="dxa" w:w="2770"/>
            <w:vAlign w:val="center"/>
          </w:tcPr>
          <w:p>
            <w:r>
              <w:t>T03</w:t>
            </w:r>
          </w:p>
        </w:tc>
        <w:tc>
          <w:tcPr>
            <w:tcW w:type="dxa" w:w="2770"/>
            <w:vAlign w:val="center"/>
          </w:tcPr>
          <w:p>
            <w:r>
              <w:t>Normal web request</w:t>
            </w:r>
          </w:p>
        </w:tc>
        <w:tc>
          <w:tcPr>
            <w:tcW w:type="dxa" w:w="2770"/>
            <w:vAlign w:val="center"/>
          </w:tcPr>
          <w:p>
            <w:r>
              <w:t>No finding</w:t>
            </w:r>
          </w:p>
        </w:tc>
      </w:tr>
      <w:tr>
        <w:tc>
          <w:tcPr>
            <w:tcW w:type="dxa" w:w="2770"/>
            <w:vAlign w:val="center"/>
          </w:tcPr>
          <w:p>
            <w:r>
              <w:t>T04</w:t>
            </w:r>
          </w:p>
        </w:tc>
        <w:tc>
          <w:tcPr>
            <w:tcW w:type="dxa" w:w="2770"/>
            <w:vAlign w:val="center"/>
          </w:tcPr>
          <w:p>
            <w:r>
              <w:t>Five failed SSH entries</w:t>
            </w:r>
          </w:p>
        </w:tc>
        <w:tc>
          <w:tcPr>
            <w:tcW w:type="dxa" w:w="2770"/>
            <w:vAlign w:val="center"/>
          </w:tcPr>
          <w:p>
            <w:r>
              <w:t>Brute force finding</w:t>
            </w:r>
          </w:p>
        </w:tc>
      </w:tr>
      <w:tr>
        <w:tc>
          <w:tcPr>
            <w:tcW w:type="dxa" w:w="2770"/>
            <w:vAlign w:val="center"/>
          </w:tcPr>
          <w:p>
            <w:r>
              <w:t>T05</w:t>
            </w:r>
          </w:p>
        </w:tc>
        <w:tc>
          <w:tcPr>
            <w:tcW w:type="dxa" w:w="2770"/>
            <w:vAlign w:val="center"/>
          </w:tcPr>
          <w:p>
            <w:r>
              <w:t>Accepted login after T04</w:t>
            </w:r>
          </w:p>
        </w:tc>
        <w:tc>
          <w:tcPr>
            <w:tcW w:type="dxa" w:w="2770"/>
            <w:vAlign w:val="center"/>
          </w:tcPr>
          <w:p>
            <w:r>
              <w:t>Correlated critical finding</w:t>
            </w:r>
          </w:p>
        </w:tc>
      </w:tr>
      <w:tr>
        <w:tc>
          <w:tcPr>
            <w:tcW w:type="dxa" w:w="2770"/>
            <w:vAlign w:val="center"/>
          </w:tcPr>
          <w:p>
            <w:r>
              <w:t>T06</w:t>
            </w:r>
          </w:p>
        </w:tc>
        <w:tc>
          <w:tcPr>
            <w:tcW w:type="dxa" w:w="2770"/>
            <w:vAlign w:val="center"/>
          </w:tcPr>
          <w:p>
            <w:r>
              <w:t>Traversal request</w:t>
            </w:r>
          </w:p>
        </w:tc>
        <w:tc>
          <w:tcPr>
            <w:tcW w:type="dxa" w:w="2770"/>
            <w:vAlign w:val="center"/>
          </w:tcPr>
          <w:p>
            <w:r>
              <w:t>Traversal finding</w:t>
            </w:r>
          </w:p>
        </w:tc>
      </w:tr>
      <w:tr>
        <w:tc>
          <w:tcPr>
            <w:tcW w:type="dxa" w:w="2770"/>
            <w:vAlign w:val="center"/>
          </w:tcPr>
          <w:p>
            <w:r>
              <w:t>T07</w:t>
            </w:r>
          </w:p>
        </w:tc>
        <w:tc>
          <w:tcPr>
            <w:tcW w:type="dxa" w:w="2770"/>
            <w:vAlign w:val="center"/>
          </w:tcPr>
          <w:p>
            <w:r>
              <w:t>Encoded UNION SELECT</w:t>
            </w:r>
          </w:p>
        </w:tc>
        <w:tc>
          <w:tcPr>
            <w:tcW w:type="dxa" w:w="2770"/>
            <w:vAlign w:val="center"/>
          </w:tcPr>
          <w:p>
            <w:r>
              <w:t>SQL indicator finding</w:t>
            </w:r>
          </w:p>
        </w:tc>
      </w:tr>
      <w:tr>
        <w:tc>
          <w:tcPr>
            <w:tcW w:type="dxa" w:w="2770"/>
            <w:vAlign w:val="center"/>
          </w:tcPr>
          <w:p>
            <w:r>
              <w:t>T08</w:t>
            </w:r>
          </w:p>
        </w:tc>
        <w:tc>
          <w:tcPr>
            <w:tcW w:type="dxa" w:w="2770"/>
            <w:vAlign w:val="center"/>
          </w:tcPr>
          <w:p>
            <w:r>
              <w:t>Command separator request</w:t>
            </w:r>
          </w:p>
        </w:tc>
        <w:tc>
          <w:tcPr>
            <w:tcW w:type="dxa" w:w="2770"/>
            <w:vAlign w:val="center"/>
          </w:tcPr>
          <w:p>
            <w:r>
              <w:t>Command injection finding</w:t>
            </w:r>
          </w:p>
        </w:tc>
      </w:tr>
      <w:tr>
        <w:tc>
          <w:tcPr>
            <w:tcW w:type="dxa" w:w="2770"/>
            <w:vAlign w:val="center"/>
          </w:tcPr>
          <w:p>
            <w:r>
              <w:t>T09</w:t>
            </w:r>
          </w:p>
        </w:tc>
        <w:tc>
          <w:tcPr>
            <w:tcW w:type="dxa" w:w="2770"/>
            <w:vAlign w:val="center"/>
          </w:tcPr>
          <w:p>
            <w:r>
              <w:t>Three sensitive paths</w:t>
            </w:r>
          </w:p>
        </w:tc>
        <w:tc>
          <w:tcPr>
            <w:tcW w:type="dxa" w:w="2770"/>
            <w:vAlign w:val="center"/>
          </w:tcPr>
          <w:p>
            <w:r>
              <w:t>Web scanning finding</w:t>
            </w:r>
          </w:p>
        </w:tc>
      </w:tr>
      <w:tr>
        <w:tc>
          <w:tcPr>
            <w:tcW w:type="dxa" w:w="2770"/>
            <w:vAlign w:val="center"/>
          </w:tcPr>
          <w:p>
            <w:r>
              <w:t>T10</w:t>
            </w:r>
          </w:p>
        </w:tc>
        <w:tc>
          <w:tcPr>
            <w:tcW w:type="dxa" w:w="2770"/>
            <w:vAlign w:val="center"/>
          </w:tcPr>
          <w:p>
            <w:r>
              <w:t>Unsupported text</w:t>
            </w:r>
          </w:p>
        </w:tc>
        <w:tc>
          <w:tcPr>
            <w:tcW w:type="dxa" w:w="2770"/>
            <w:vAlign w:val="center"/>
          </w:tcPr>
          <w:p>
            <w:r>
              <w:t>Ignored count increments without crash</w:t>
            </w:r>
          </w:p>
        </w:tc>
      </w:tr>
      <w:tr>
        <w:tc>
          <w:tcPr>
            <w:tcW w:type="dxa" w:w="2770"/>
            <w:vAlign w:val="center"/>
          </w:tcPr>
          <w:p>
            <w:r>
              <w:t>T11</w:t>
            </w:r>
          </w:p>
        </w:tc>
        <w:tc>
          <w:tcPr>
            <w:tcW w:type="dxa" w:w="2770"/>
            <w:vAlign w:val="center"/>
          </w:tcPr>
          <w:p>
            <w:r>
              <w:t>Large input over 1 MB</w:t>
            </w:r>
          </w:p>
        </w:tc>
        <w:tc>
          <w:tcPr>
            <w:tcW w:type="dxa" w:w="2770"/>
            <w:vAlign w:val="center"/>
          </w:tcPr>
          <w:p>
            <w:r>
              <w:t>Clear 413 size error</w:t>
            </w:r>
          </w:p>
        </w:tc>
      </w:tr>
      <w:tr>
        <w:tc>
          <w:tcPr>
            <w:tcW w:type="dxa" w:w="2770"/>
            <w:vAlign w:val="center"/>
          </w:tcPr>
          <w:p>
            <w:r>
              <w:t>T12</w:t>
            </w:r>
          </w:p>
        </w:tc>
        <w:tc>
          <w:tcPr>
            <w:tcW w:type="dxa" w:w="2770"/>
            <w:vAlign w:val="center"/>
          </w:tcPr>
          <w:p>
            <w:r>
              <w:t>JSON download</w:t>
            </w:r>
          </w:p>
        </w:tc>
        <w:tc>
          <w:tcPr>
            <w:tcW w:type="dxa" w:w="2770"/>
            <w:vAlign w:val="center"/>
          </w:tcPr>
          <w:p>
            <w:r>
              <w:t>Machine readable report is generated</w:t>
            </w:r>
          </w:p>
        </w:tc>
      </w:tr>
    </w:tbl>
    <w:p>
      <w:pPr>
        <w:pStyle w:val="Heading1"/>
      </w:pPr>
      <w:r>
        <w:t>5 2 Boundary and Robustness Tests</w:t>
      </w:r>
    </w:p>
    <w:p>
      <w:r>
        <w:rPr>
          <w:b w:val="0"/>
        </w:rPr>
        <w:t>Additional test cases cover boundary behaviour and safe error handling. These are specified to guide evidence collection during the remaining project cycle.</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ID</w:t>
            </w:r>
          </w:p>
        </w:tc>
        <w:tc>
          <w:tcPr>
            <w:tcW w:type="dxa" w:w="2770"/>
            <w:vAlign w:val="center"/>
          </w:tcPr>
          <w:p>
            <w:r>
              <w:t>Condition</w:t>
            </w:r>
          </w:p>
        </w:tc>
        <w:tc>
          <w:tcPr>
            <w:tcW w:type="dxa" w:w="2770"/>
            <w:vAlign w:val="center"/>
          </w:tcPr>
          <w:p>
            <w:r>
              <w:t>Expected Result</w:t>
            </w:r>
          </w:p>
        </w:tc>
      </w:tr>
      <w:tr>
        <w:tc>
          <w:tcPr>
            <w:tcW w:type="dxa" w:w="2770"/>
            <w:vAlign w:val="center"/>
          </w:tcPr>
          <w:p>
            <w:r>
              <w:t>T13</w:t>
            </w:r>
          </w:p>
        </w:tc>
        <w:tc>
          <w:tcPr>
            <w:tcW w:type="dxa" w:w="2770"/>
            <w:vAlign w:val="center"/>
          </w:tcPr>
          <w:p>
            <w:r>
              <w:t>Four failed SSH events</w:t>
            </w:r>
          </w:p>
        </w:tc>
        <w:tc>
          <w:tcPr>
            <w:tcW w:type="dxa" w:w="2770"/>
            <w:vAlign w:val="center"/>
          </w:tcPr>
          <w:p>
            <w:r>
              <w:t>No brute force finding</w:t>
            </w:r>
          </w:p>
        </w:tc>
      </w:tr>
      <w:tr>
        <w:tc>
          <w:tcPr>
            <w:tcW w:type="dxa" w:w="2770"/>
            <w:vAlign w:val="center"/>
          </w:tcPr>
          <w:p>
            <w:r>
              <w:t>T14</w:t>
            </w:r>
          </w:p>
        </w:tc>
        <w:tc>
          <w:tcPr>
            <w:tcW w:type="dxa" w:w="2770"/>
            <w:vAlign w:val="center"/>
          </w:tcPr>
          <w:p>
            <w:r>
              <w:t>Five failed SSH events</w:t>
            </w:r>
          </w:p>
        </w:tc>
        <w:tc>
          <w:tcPr>
            <w:tcW w:type="dxa" w:w="2770"/>
            <w:vAlign w:val="center"/>
          </w:tcPr>
          <w:p>
            <w:r>
              <w:t>One brute force finding</w:t>
            </w:r>
          </w:p>
        </w:tc>
      </w:tr>
      <w:tr>
        <w:tc>
          <w:tcPr>
            <w:tcW w:type="dxa" w:w="2770"/>
            <w:vAlign w:val="center"/>
          </w:tcPr>
          <w:p>
            <w:r>
              <w:t>T15</w:t>
            </w:r>
          </w:p>
        </w:tc>
        <w:tc>
          <w:tcPr>
            <w:tcW w:type="dxa" w:w="2770"/>
            <w:vAlign w:val="center"/>
          </w:tcPr>
          <w:p>
            <w:r>
              <w:t>Encoded path traversal</w:t>
            </w:r>
          </w:p>
        </w:tc>
        <w:tc>
          <w:tcPr>
            <w:tcW w:type="dxa" w:w="2770"/>
            <w:vAlign w:val="center"/>
          </w:tcPr>
          <w:p>
            <w:r>
              <w:t>Traversal finding</w:t>
            </w:r>
          </w:p>
        </w:tc>
      </w:tr>
      <w:tr>
        <w:tc>
          <w:tcPr>
            <w:tcW w:type="dxa" w:w="2770"/>
            <w:vAlign w:val="center"/>
          </w:tcPr>
          <w:p>
            <w:r>
              <w:t>T16</w:t>
            </w:r>
          </w:p>
        </w:tc>
        <w:tc>
          <w:tcPr>
            <w:tcW w:type="dxa" w:w="2770"/>
            <w:vAlign w:val="center"/>
          </w:tcPr>
          <w:p>
            <w:r>
              <w:t>Three sensitive paths</w:t>
            </w:r>
          </w:p>
        </w:tc>
        <w:tc>
          <w:tcPr>
            <w:tcW w:type="dxa" w:w="2770"/>
            <w:vAlign w:val="center"/>
          </w:tcPr>
          <w:p>
            <w:r>
              <w:t>Web scanning finding</w:t>
            </w:r>
          </w:p>
        </w:tc>
      </w:tr>
      <w:tr>
        <w:tc>
          <w:tcPr>
            <w:tcW w:type="dxa" w:w="2770"/>
            <w:vAlign w:val="center"/>
          </w:tcPr>
          <w:p>
            <w:r>
              <w:t>T17</w:t>
            </w:r>
          </w:p>
        </w:tc>
        <w:tc>
          <w:tcPr>
            <w:tcW w:type="dxa" w:w="2770"/>
            <w:vAlign w:val="center"/>
          </w:tcPr>
          <w:p>
            <w:r>
              <w:t>Two sensitive paths</w:t>
            </w:r>
          </w:p>
        </w:tc>
        <w:tc>
          <w:tcPr>
            <w:tcW w:type="dxa" w:w="2770"/>
            <w:vAlign w:val="center"/>
          </w:tcPr>
          <w:p>
            <w:r>
              <w:t>No web scanning finding</w:t>
            </w:r>
          </w:p>
        </w:tc>
      </w:tr>
      <w:tr>
        <w:tc>
          <w:tcPr>
            <w:tcW w:type="dxa" w:w="2770"/>
            <w:vAlign w:val="center"/>
          </w:tcPr>
          <w:p>
            <w:r>
              <w:t>T18</w:t>
            </w:r>
          </w:p>
        </w:tc>
        <w:tc>
          <w:tcPr>
            <w:tcW w:type="dxa" w:w="2770"/>
            <w:vAlign w:val="center"/>
          </w:tcPr>
          <w:p>
            <w:r>
              <w:t>Malformed web line</w:t>
            </w:r>
          </w:p>
        </w:tc>
        <w:tc>
          <w:tcPr>
            <w:tcW w:type="dxa" w:w="2770"/>
            <w:vAlign w:val="center"/>
          </w:tcPr>
          <w:p>
            <w:r>
              <w:t>Ignored safely</w:t>
            </w:r>
          </w:p>
        </w:tc>
      </w:tr>
      <w:tr>
        <w:tc>
          <w:tcPr>
            <w:tcW w:type="dxa" w:w="2770"/>
            <w:vAlign w:val="center"/>
          </w:tcPr>
          <w:p>
            <w:r>
              <w:t>T19</w:t>
            </w:r>
          </w:p>
        </w:tc>
        <w:tc>
          <w:tcPr>
            <w:tcW w:type="dxa" w:w="2770"/>
            <w:vAlign w:val="center"/>
          </w:tcPr>
          <w:p>
            <w:r>
              <w:t>Malformed SSH line</w:t>
            </w:r>
          </w:p>
        </w:tc>
        <w:tc>
          <w:tcPr>
            <w:tcW w:type="dxa" w:w="2770"/>
            <w:vAlign w:val="center"/>
          </w:tcPr>
          <w:p>
            <w:r>
              <w:t>Ignored safely</w:t>
            </w:r>
          </w:p>
        </w:tc>
      </w:tr>
      <w:tr>
        <w:tc>
          <w:tcPr>
            <w:tcW w:type="dxa" w:w="2770"/>
            <w:vAlign w:val="center"/>
          </w:tcPr>
          <w:p>
            <w:r>
              <w:t>T20</w:t>
            </w:r>
          </w:p>
        </w:tc>
        <w:tc>
          <w:tcPr>
            <w:tcW w:type="dxa" w:w="2770"/>
            <w:vAlign w:val="center"/>
          </w:tcPr>
          <w:p>
            <w:r>
              <w:t>Non string JSON logs value</w:t>
            </w:r>
          </w:p>
        </w:tc>
        <w:tc>
          <w:tcPr>
            <w:tcW w:type="dxa" w:w="2770"/>
            <w:vAlign w:val="center"/>
          </w:tcPr>
          <w:p>
            <w:r>
              <w:t>400 error response</w:t>
            </w:r>
          </w:p>
        </w:tc>
      </w:tr>
      <w:tr>
        <w:tc>
          <w:tcPr>
            <w:tcW w:type="dxa" w:w="2770"/>
            <w:vAlign w:val="center"/>
          </w:tcPr>
          <w:p>
            <w:r>
              <w:t>T21</w:t>
            </w:r>
          </w:p>
        </w:tc>
        <w:tc>
          <w:tcPr>
            <w:tcW w:type="dxa" w:w="2770"/>
            <w:vAlign w:val="center"/>
          </w:tcPr>
          <w:p>
            <w:r>
              <w:t>Input over one MB</w:t>
            </w:r>
          </w:p>
        </w:tc>
        <w:tc>
          <w:tcPr>
            <w:tcW w:type="dxa" w:w="2770"/>
            <w:vAlign w:val="center"/>
          </w:tcPr>
          <w:p>
            <w:r>
              <w:t>413 size error</w:t>
            </w:r>
          </w:p>
        </w:tc>
      </w:tr>
      <w:tr>
        <w:tc>
          <w:tcPr>
            <w:tcW w:type="dxa" w:w="2770"/>
            <w:vAlign w:val="center"/>
          </w:tcPr>
          <w:p>
            <w:r>
              <w:t>T22</w:t>
            </w:r>
          </w:p>
        </w:tc>
        <w:tc>
          <w:tcPr>
            <w:tcW w:type="dxa" w:w="2770"/>
            <w:vAlign w:val="center"/>
          </w:tcPr>
          <w:p>
            <w:r>
              <w:t>Repeated analysis</w:t>
            </w:r>
          </w:p>
        </w:tc>
        <w:tc>
          <w:tcPr>
            <w:tcW w:type="dxa" w:w="2770"/>
            <w:vAlign w:val="center"/>
          </w:tcPr>
          <w:p>
            <w:r>
              <w:t>Deterministic equivalent output</w:t>
            </w:r>
          </w:p>
        </w:tc>
      </w:tr>
      <w:tr>
        <w:tc>
          <w:tcPr>
            <w:tcW w:type="dxa" w:w="2770"/>
            <w:vAlign w:val="center"/>
          </w:tcPr>
          <w:p>
            <w:r>
              <w:t>T23</w:t>
            </w:r>
          </w:p>
        </w:tc>
        <w:tc>
          <w:tcPr>
            <w:tcW w:type="dxa" w:w="2770"/>
            <w:vAlign w:val="center"/>
          </w:tcPr>
          <w:p>
            <w:r>
              <w:t>JSON export</w:t>
            </w:r>
          </w:p>
        </w:tc>
        <w:tc>
          <w:tcPr>
            <w:tcW w:type="dxa" w:w="2770"/>
            <w:vAlign w:val="center"/>
          </w:tcPr>
          <w:p>
            <w:r>
              <w:t>Valid serializable data</w:t>
            </w:r>
          </w:p>
        </w:tc>
      </w:tr>
      <w:tr>
        <w:tc>
          <w:tcPr>
            <w:tcW w:type="dxa" w:w="2770"/>
            <w:vAlign w:val="center"/>
          </w:tcPr>
          <w:p>
            <w:r>
              <w:t>T24</w:t>
            </w:r>
          </w:p>
        </w:tc>
        <w:tc>
          <w:tcPr>
            <w:tcW w:type="dxa" w:w="2770"/>
            <w:vAlign w:val="center"/>
          </w:tcPr>
          <w:p>
            <w:r>
              <w:t>HTML-like evidence</w:t>
            </w:r>
          </w:p>
        </w:tc>
        <w:tc>
          <w:tcPr>
            <w:tcW w:type="dxa" w:w="2770"/>
            <w:vAlign w:val="center"/>
          </w:tcPr>
          <w:p>
            <w:r>
              <w:t>Escaped dashboard display</w:t>
            </w:r>
          </w:p>
        </w:tc>
      </w:tr>
    </w:tbl>
    <w:p>
      <w:pPr>
        <w:pStyle w:val="Heading1"/>
      </w:pPr>
      <w:r>
        <w:t>5 3 Security and Quality Review</w:t>
      </w:r>
    </w:p>
    <w:p>
      <w:r>
        <w:rPr>
          <w:b w:val="0"/>
        </w:rPr>
        <w:t>Input is treated as text and is HTML escaped before dashboard rendering. The local server imposes a one megabyte demonstration limit. The project has no login, persistent evidence store, or production hardening; these are documented limitations. Source code compiles successfully and the included demo verifies all intended rule categories.</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Review Area</w:t>
            </w:r>
          </w:p>
        </w:tc>
        <w:tc>
          <w:tcPr>
            <w:tcW w:type="dxa" w:w="2770"/>
            <w:vAlign w:val="center"/>
          </w:tcPr>
          <w:p>
            <w:r>
              <w:t>Implemented Control</w:t>
            </w:r>
          </w:p>
        </w:tc>
        <w:tc>
          <w:tcPr>
            <w:tcW w:type="dxa" w:w="2770"/>
            <w:vAlign w:val="center"/>
          </w:tcPr>
          <w:p>
            <w:r>
              <w:t>Remaining Limitation</w:t>
            </w:r>
          </w:p>
        </w:tc>
      </w:tr>
      <w:tr>
        <w:tc>
          <w:tcPr>
            <w:tcW w:type="dxa" w:w="2770"/>
            <w:vAlign w:val="center"/>
          </w:tcPr>
          <w:p>
            <w:r>
              <w:t>Input handling</w:t>
            </w:r>
          </w:p>
        </w:tc>
        <w:tc>
          <w:tcPr>
            <w:tcW w:type="dxa" w:w="2770"/>
            <w:vAlign w:val="center"/>
          </w:tcPr>
          <w:p>
            <w:r>
              <w:t>JSON type check and size limit</w:t>
            </w:r>
          </w:p>
        </w:tc>
        <w:tc>
          <w:tcPr>
            <w:tcW w:type="dxa" w:w="2770"/>
            <w:vAlign w:val="center"/>
          </w:tcPr>
          <w:p>
            <w:r>
              <w:t>No antivirus or file upload path</w:t>
            </w:r>
          </w:p>
        </w:tc>
      </w:tr>
      <w:tr>
        <w:tc>
          <w:tcPr>
            <w:tcW w:type="dxa" w:w="2770"/>
            <w:vAlign w:val="center"/>
          </w:tcPr>
          <w:p>
            <w:r>
              <w:t>Browser output</w:t>
            </w:r>
          </w:p>
        </w:tc>
        <w:tc>
          <w:tcPr>
            <w:tcW w:type="dxa" w:w="2770"/>
            <w:vAlign w:val="center"/>
          </w:tcPr>
          <w:p>
            <w:r>
              <w:t>HTML escaping of evidence</w:t>
            </w:r>
          </w:p>
        </w:tc>
        <w:tc>
          <w:tcPr>
            <w:tcW w:type="dxa" w:w="2770"/>
            <w:vAlign w:val="center"/>
          </w:tcPr>
          <w:p>
            <w:r>
              <w:t>Client has no user authentication</w:t>
            </w:r>
          </w:p>
        </w:tc>
      </w:tr>
      <w:tr>
        <w:tc>
          <w:tcPr>
            <w:tcW w:type="dxa" w:w="2770"/>
            <w:vAlign w:val="center"/>
          </w:tcPr>
          <w:p>
            <w:r>
              <w:t>Network exposure</w:t>
            </w:r>
          </w:p>
        </w:tc>
        <w:tc>
          <w:tcPr>
            <w:tcW w:type="dxa" w:w="2770"/>
            <w:vAlign w:val="center"/>
          </w:tcPr>
          <w:p>
            <w:r>
              <w:t>Loopback address only</w:t>
            </w:r>
          </w:p>
        </w:tc>
        <w:tc>
          <w:tcPr>
            <w:tcW w:type="dxa" w:w="2770"/>
            <w:vAlign w:val="center"/>
          </w:tcPr>
          <w:p>
            <w:r>
              <w:t>Deployment configuration remains operator responsibility</w:t>
            </w:r>
          </w:p>
        </w:tc>
      </w:tr>
      <w:tr>
        <w:tc>
          <w:tcPr>
            <w:tcW w:type="dxa" w:w="2770"/>
            <w:vAlign w:val="center"/>
          </w:tcPr>
          <w:p>
            <w:r>
              <w:t>Detection integrity</w:t>
            </w:r>
          </w:p>
        </w:tc>
        <w:tc>
          <w:tcPr>
            <w:tcW w:type="dxa" w:w="2770"/>
            <w:vAlign w:val="center"/>
          </w:tcPr>
          <w:p>
            <w:r>
              <w:t>Rules and limitations visible</w:t>
            </w:r>
          </w:p>
        </w:tc>
        <w:tc>
          <w:tcPr>
            <w:tcW w:type="dxa" w:w="2770"/>
            <w:vAlign w:val="center"/>
          </w:tcPr>
          <w:p>
            <w:r>
              <w:t>No external intelligence validation</w:t>
            </w:r>
          </w:p>
        </w:tc>
      </w:tr>
    </w:tbl>
    <w:p>
      <w:pPr>
        <w:pStyle w:val="Heading1"/>
      </w:pPr>
      <w:r>
        <w:t>Chapter 6 Results and Discussion</w:t>
      </w:r>
    </w:p>
    <w:p>
      <w:r>
        <w:rPr>
          <w:b w:val="0"/>
        </w:rPr>
        <w:t>The synthetic demo corpus contains 13 recognized events. It produced six findings across four source IPs. The highest priority entity had risk 80 out of 100 because the system observed five failed passwords followed by an accepted login. Other findings covered sensitive path scanning and traversal, an encoded SQL indicator, and a command injection indicator.</w:t>
      </w:r>
    </w:p>
    <w:p>
      <w:pPr>
        <w:pStyle w:val="Heading1"/>
      </w:pPr>
      <w:r>
        <w:t>6 1 Interpretation of Results</w:t>
      </w:r>
    </w:p>
    <w:p>
      <w:r>
        <w:rPr>
          <w:b w:val="0"/>
        </w:rPr>
        <w:t>The result demonstrates the value of correlation: isolated failed logins are less concerning than a successful login after a burst from the same IP. The dashboard preserves the associated line number and evidence, allowing an analyst to return to the source. A risk score facilitates ordering but must not dictate containment without validation.</w:t>
      </w:r>
    </w:p>
    <w:p>
      <w:pPr>
        <w:pStyle w:val="Heading1"/>
      </w:pPr>
      <w:r>
        <w:t>6 2 Demonstration Result Matrix</w:t>
      </w:r>
    </w:p>
    <w:p>
      <w:r>
        <w:rPr>
          <w:b w:val="0"/>
        </w:rPr>
        <w:t>The following figures are direct outputs from the synthetic demo corpus. They describe prototype behaviour rather than real-world prevalence or model accuracy.</w:t>
      </w:r>
    </w:p>
    <w:tbl>
      <w:tblPr>
        <w:tblStyle w:val="TableGrid"/>
        <w:tblW w:type="auto" w:w="0"/>
        <w:jc w:val="center"/>
        <w:tblLook w:firstColumn="1" w:firstRow="1" w:lastColumn="0" w:lastRow="0" w:noHBand="0" w:noVBand="1" w:val="04A0"/>
      </w:tblPr>
      <w:tblGrid>
        <w:gridCol w:w="2770"/>
        <w:gridCol w:w="2770"/>
        <w:gridCol w:w="2770"/>
      </w:tblGrid>
      <w:tr>
        <w:tc>
          <w:tcPr>
            <w:tcW w:type="dxa" w:w="2770"/>
            <w:vAlign w:val="center"/>
          </w:tcPr>
          <w:p>
            <w:r>
              <w:t>Metric</w:t>
            </w:r>
          </w:p>
        </w:tc>
        <w:tc>
          <w:tcPr>
            <w:tcW w:type="dxa" w:w="2770"/>
            <w:vAlign w:val="center"/>
          </w:tcPr>
          <w:p>
            <w:r>
              <w:t>Observed Value</w:t>
            </w:r>
          </w:p>
        </w:tc>
        <w:tc>
          <w:tcPr>
            <w:tcW w:type="dxa" w:w="2770"/>
            <w:vAlign w:val="center"/>
          </w:tcPr>
          <w:p>
            <w:r>
              <w:t>Interpretation</w:t>
            </w:r>
          </w:p>
        </w:tc>
      </w:tr>
      <w:tr>
        <w:tc>
          <w:tcPr>
            <w:tcW w:type="dxa" w:w="2770"/>
            <w:vAlign w:val="center"/>
          </w:tcPr>
          <w:p>
            <w:r>
              <w:t>Recognized events</w:t>
            </w:r>
          </w:p>
        </w:tc>
        <w:tc>
          <w:tcPr>
            <w:tcW w:type="dxa" w:w="2770"/>
            <w:vAlign w:val="center"/>
          </w:tcPr>
          <w:p>
            <w:r>
              <w:t>13</w:t>
            </w:r>
          </w:p>
        </w:tc>
        <w:tc>
          <w:tcPr>
            <w:tcW w:type="dxa" w:w="2770"/>
            <w:vAlign w:val="center"/>
          </w:tcPr>
          <w:p>
            <w:r>
              <w:t>All supplied demo records matched a supported format</w:t>
            </w:r>
          </w:p>
        </w:tc>
      </w:tr>
      <w:tr>
        <w:tc>
          <w:tcPr>
            <w:tcW w:type="dxa" w:w="2770"/>
            <w:vAlign w:val="center"/>
          </w:tcPr>
          <w:p>
            <w:r>
              <w:t>Findings</w:t>
            </w:r>
          </w:p>
        </w:tc>
        <w:tc>
          <w:tcPr>
            <w:tcW w:type="dxa" w:w="2770"/>
            <w:vAlign w:val="center"/>
          </w:tcPr>
          <w:p>
            <w:r>
              <w:t>6</w:t>
            </w:r>
          </w:p>
        </w:tc>
        <w:tc>
          <w:tcPr>
            <w:tcW w:type="dxa" w:w="2770"/>
            <w:vAlign w:val="center"/>
          </w:tcPr>
          <w:p>
            <w:r>
              <w:t>Each intended rule category activated once</w:t>
            </w:r>
          </w:p>
        </w:tc>
      </w:tr>
      <w:tr>
        <w:tc>
          <w:tcPr>
            <w:tcW w:type="dxa" w:w="2770"/>
            <w:vAlign w:val="center"/>
          </w:tcPr>
          <w:p>
            <w:r>
              <w:t>Flagged source IPs</w:t>
            </w:r>
          </w:p>
        </w:tc>
        <w:tc>
          <w:tcPr>
            <w:tcW w:type="dxa" w:w="2770"/>
            <w:vAlign w:val="center"/>
          </w:tcPr>
          <w:p>
            <w:r>
              <w:t>4</w:t>
            </w:r>
          </w:p>
        </w:tc>
        <w:tc>
          <w:tcPr>
            <w:tcW w:type="dxa" w:w="2770"/>
            <w:vAlign w:val="center"/>
          </w:tcPr>
          <w:p>
            <w:r>
              <w:t>Correlation grouped related events</w:t>
            </w:r>
          </w:p>
        </w:tc>
      </w:tr>
      <w:tr>
        <w:tc>
          <w:tcPr>
            <w:tcW w:type="dxa" w:w="2770"/>
            <w:vAlign w:val="center"/>
          </w:tcPr>
          <w:p>
            <w:r>
              <w:t>Highest entity score</w:t>
            </w:r>
          </w:p>
        </w:tc>
        <w:tc>
          <w:tcPr>
            <w:tcW w:type="dxa" w:w="2770"/>
            <w:vAlign w:val="center"/>
          </w:tcPr>
          <w:p>
            <w:r>
              <w:t>80 of 100</w:t>
            </w:r>
          </w:p>
        </w:tc>
        <w:tc>
          <w:tcPr>
            <w:tcW w:type="dxa" w:w="2770"/>
            <w:vAlign w:val="center"/>
          </w:tcPr>
          <w:p>
            <w:r>
              <w:t>Failed SSH attempts followed by accepted login</w:t>
            </w:r>
          </w:p>
        </w:tc>
      </w:tr>
      <w:tr>
        <w:tc>
          <w:tcPr>
            <w:tcW w:type="dxa" w:w="2770"/>
            <w:vAlign w:val="center"/>
          </w:tcPr>
          <w:p>
            <w:r>
              <w:t>Critical findings</w:t>
            </w:r>
          </w:p>
        </w:tc>
        <w:tc>
          <w:tcPr>
            <w:tcW w:type="dxa" w:w="2770"/>
            <w:vAlign w:val="center"/>
          </w:tcPr>
          <w:p>
            <w:r>
              <w:t>2</w:t>
            </w:r>
          </w:p>
        </w:tc>
        <w:tc>
          <w:tcPr>
            <w:tcW w:type="dxa" w:w="2770"/>
            <w:vAlign w:val="center"/>
          </w:tcPr>
          <w:p>
            <w:r>
              <w:t>Command injection indicator and login after failures</w:t>
            </w:r>
          </w:p>
        </w:tc>
      </w:tr>
      <w:tr>
        <w:tc>
          <w:tcPr>
            <w:tcW w:type="dxa" w:w="2770"/>
            <w:vAlign w:val="center"/>
          </w:tcPr>
          <w:p>
            <w:r>
              <w:t>High findings</w:t>
            </w:r>
          </w:p>
        </w:tc>
        <w:tc>
          <w:tcPr>
            <w:tcW w:type="dxa" w:w="2770"/>
            <w:vAlign w:val="center"/>
          </w:tcPr>
          <w:p>
            <w:r>
              <w:t>3</w:t>
            </w:r>
          </w:p>
        </w:tc>
        <w:tc>
          <w:tcPr>
            <w:tcW w:type="dxa" w:w="2770"/>
            <w:vAlign w:val="center"/>
          </w:tcPr>
          <w:p>
            <w:r>
              <w:t>SSH brute force, traversal, SQL indicator</w:t>
            </w:r>
          </w:p>
        </w:tc>
      </w:tr>
      <w:tr>
        <w:tc>
          <w:tcPr>
            <w:tcW w:type="dxa" w:w="2770"/>
            <w:vAlign w:val="center"/>
          </w:tcPr>
          <w:p>
            <w:r>
              <w:t>Medium findings</w:t>
            </w:r>
          </w:p>
        </w:tc>
        <w:tc>
          <w:tcPr>
            <w:tcW w:type="dxa" w:w="2770"/>
            <w:vAlign w:val="center"/>
          </w:tcPr>
          <w:p>
            <w:r>
              <w:t>1</w:t>
            </w:r>
          </w:p>
        </w:tc>
        <w:tc>
          <w:tcPr>
            <w:tcW w:type="dxa" w:w="2770"/>
            <w:vAlign w:val="center"/>
          </w:tcPr>
          <w:p>
            <w:r>
              <w:t>Sensitive web path scanning</w:t>
            </w:r>
          </w:p>
        </w:tc>
      </w:tr>
    </w:tbl>
    <w:p>
      <w:pPr>
        <w:pStyle w:val="Heading1"/>
      </w:pPr>
      <w:r>
        <w:t>6 3 Limitations</w:t>
      </w:r>
    </w:p>
    <w:p>
      <w:r>
        <w:rPr>
          <w:b w:val="0"/>
        </w:rPr>
        <w:t>Regex parsers are format dependent. Timestamp rate windows are not yet normalized across sources. Rule coverage is intentionally narrow. The test corpus is synthetic and therefore cannot establish field accuracy, recall, or resilience against adversarial evasion. These limitations prevent overstatement of project capability.</w:t>
      </w:r>
    </w:p>
    <w:p>
      <w:pPr>
        <w:pStyle w:val="Heading1"/>
      </w:pPr>
      <w:r>
        <w:t>Chapter 7 Conclusion and Future Scope</w:t>
      </w:r>
    </w:p>
    <w:p>
      <w:r>
        <w:rPr>
          <w:b w:val="0"/>
        </w:rPr>
        <w:t>SentinelTrace delivers a fourth year appropriate local log triage prototype with explainable detections, correlation, ATT and CK context, response guidance, reproducible identifiers, and export. It meets its limited objectives while preserving ethical and technical boundaries.</w:t>
      </w:r>
    </w:p>
    <w:p>
      <w:r>
        <w:rPr>
          <w:b w:val="0"/>
        </w:rPr>
        <w:t>Future work can add timestamp normalization and sliding windows, secure analyst authentication, encrypted case storage, signed evidence bundles, Sigma rule import, structured JSON log support, live ingestion, and carefully evaluated anomaly detection using a documented public dataset.</w:t>
      </w:r>
    </w:p>
    <w:p>
      <w:pPr>
        <w:pStyle w:val="Heading1"/>
      </w:pPr>
      <w:r>
        <w:t>References</w:t>
      </w:r>
    </w:p>
    <w:p>
      <w:r>
        <w:rPr>
          <w:b w:val="0"/>
        </w:rPr>
        <w:t>[1] K. Kent and M. Souppaya, Guide to Computer Security Log Management, NIST SP 800 92, 2006.</w:t>
      </w:r>
    </w:p>
    <w:p>
      <w:r>
        <w:rPr>
          <w:b w:val="0"/>
        </w:rPr>
        <w:t>[2] OWASP Foundation, Logging Cheat Sheet, accessed 2026.</w:t>
      </w:r>
    </w:p>
    <w:p>
      <w:r>
        <w:rPr>
          <w:b w:val="0"/>
        </w:rPr>
        <w:t>[3] MITRE ATT and CK, Brute Force Password Guessing T1110.001, accessed 2026.</w:t>
      </w:r>
    </w:p>
    <w:p>
      <w:r>
        <w:rPr>
          <w:b w:val="0"/>
        </w:rPr>
        <w:t>[4] MITRE ATT and CK, Valid Accounts T1078, accessed 2026.</w:t>
      </w:r>
    </w:p>
    <w:p>
      <w:r>
        <w:rPr>
          <w:b w:val="0"/>
        </w:rPr>
        <w:t>[5] OWASP Foundation, SQL Injection Prevention Cheat Sheet, accessed 2026.</w:t>
      </w:r>
    </w:p>
    <w:p>
      <w:pPr>
        <w:pStyle w:val="Heading1"/>
      </w:pPr>
      <w:r>
        <w:t>Appendix 1 Weekly Progress Log</w:t>
      </w:r>
    </w:p>
    <w:p>
      <w:r>
        <w:rPr>
          <w:b w:val="0"/>
        </w:rPr>
        <w:t>Week: 1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2 Weekly Progress Log</w:t>
      </w:r>
    </w:p>
    <w:p>
      <w:r>
        <w:rPr>
          <w:b w:val="0"/>
        </w:rPr>
        <w:t>Week: 2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3 Weekly Progress Log</w:t>
      </w:r>
    </w:p>
    <w:p>
      <w:r>
        <w:rPr>
          <w:b w:val="0"/>
        </w:rPr>
        <w:t>Week: 3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4 Weekly Progress Log</w:t>
      </w:r>
    </w:p>
    <w:p>
      <w:r>
        <w:rPr>
          <w:b w:val="0"/>
        </w:rPr>
        <w:t>Week: 4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5 Weekly Progress Log</w:t>
      </w:r>
    </w:p>
    <w:p>
      <w:r>
        <w:rPr>
          <w:b w:val="0"/>
        </w:rPr>
        <w:t>Week: 5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6 Weekly Progress Log</w:t>
      </w:r>
    </w:p>
    <w:p>
      <w:r>
        <w:rPr>
          <w:b w:val="0"/>
        </w:rPr>
        <w:t>Week: 6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7 Weekly Progress Log</w:t>
      </w:r>
    </w:p>
    <w:p>
      <w:r>
        <w:rPr>
          <w:b w:val="0"/>
        </w:rPr>
        <w:t>Week: 7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8 Weekly Progress Log</w:t>
      </w:r>
    </w:p>
    <w:p>
      <w:r>
        <w:rPr>
          <w:b w:val="0"/>
        </w:rPr>
        <w:t>Week: 8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9 Weekly Progress Log</w:t>
      </w:r>
    </w:p>
    <w:p>
      <w:r>
        <w:rPr>
          <w:b w:val="0"/>
        </w:rPr>
        <w:t>Week: 9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p>
      <w:pPr>
        <w:pStyle w:val="Heading1"/>
      </w:pPr>
      <w:r>
        <w:t>Appendix 10 Weekly Progress Log</w:t>
      </w:r>
    </w:p>
    <w:p>
      <w:r>
        <w:rPr>
          <w:b w:val="0"/>
        </w:rPr>
        <w:t>Week: 10     Date: __________________</w:t>
      </w:r>
    </w:p>
    <w:p>
      <w:r>
        <w:rPr>
          <w:b w:val="0"/>
        </w:rPr>
        <w:t>Work done and issues faced: ____________________________________________________________________________________________</w:t>
      </w:r>
    </w:p>
    <w:p>
      <w:r>
        <w:rPr>
          <w:b w:val="0"/>
        </w:rPr>
        <w:t>Mentor remark and signature: _______________________________________________________________________________________</w:t>
      </w:r>
    </w:p>
    <w:sectPr w:rsidR="00FC693F" w:rsidRPr="0006063C" w:rsidSect="00034616">
      <w:headerReference w:type="default" r:id="rId9"/>
      <w:footerReference w:type="default" r:id="rId10"/>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Department of Computer Science and Engineering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SENTINELTRACE  |  FOURTH YEAR MINI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