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5ED" w:rsidRDefault="008B25ED">
      <w:pPr>
        <w:rPr>
          <w:sz w:val="36"/>
          <w:szCs w:val="36"/>
          <w:lang w:val="en-US"/>
        </w:rPr>
      </w:pPr>
      <w:r w:rsidRPr="008B25ED">
        <w:rPr>
          <w:sz w:val="36"/>
          <w:szCs w:val="36"/>
          <w:lang w:val="en-US"/>
        </w:rPr>
        <w:t>Paper Review Assignment (CS-565)</w:t>
      </w:r>
    </w:p>
    <w:p w:rsidR="008B25ED" w:rsidRPr="008B25ED" w:rsidRDefault="008B2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questions are based on the paper </w:t>
      </w:r>
      <w:r w:rsidRPr="008B25ED">
        <w:rPr>
          <w:i/>
          <w:iCs/>
          <w:sz w:val="24"/>
          <w:szCs w:val="24"/>
          <w:lang w:val="en-US"/>
        </w:rPr>
        <w:t>Deep Reinforcement Learning Based Resource Allocation Strategy in Cloud-Edge Computing System</w:t>
      </w:r>
      <w:r>
        <w:rPr>
          <w:sz w:val="24"/>
          <w:szCs w:val="24"/>
          <w:lang w:val="en-US"/>
        </w:rPr>
        <w:t>. Kindly review the paper beforehand. Write your responses in the space provided.</w:t>
      </w:r>
    </w:p>
    <w:p w:rsidR="00772D36" w:rsidRDefault="008B25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Paper Weblink: </w:t>
      </w:r>
      <w:hyperlink r:id="rId4" w:history="1">
        <w:r w:rsidRPr="00C94127">
          <w:rPr>
            <w:rStyle w:val="Hyperlink"/>
            <w:sz w:val="24"/>
            <w:szCs w:val="24"/>
            <w:lang w:val="en-US"/>
          </w:rPr>
          <w:t>https://www.frontiersin.org/articles/10.3389/fbioe.2022.908056/full</w:t>
        </w:r>
      </w:hyperlink>
    </w:p>
    <w:p w:rsidR="00610E8B" w:rsidRDefault="00610E8B">
      <w:pPr>
        <w:rPr>
          <w:sz w:val="24"/>
          <w:szCs w:val="24"/>
          <w:lang w:val="en-US"/>
        </w:rPr>
      </w:pPr>
    </w:p>
    <w:p w:rsidR="00772D36" w:rsidRDefault="00772D36">
      <w:pPr>
        <w:rPr>
          <w:sz w:val="24"/>
          <w:szCs w:val="24"/>
          <w:lang w:val="en-US"/>
        </w:rPr>
      </w:pPr>
      <w:r w:rsidRPr="007E7018">
        <w:rPr>
          <w:b/>
          <w:bCs/>
          <w:sz w:val="24"/>
          <w:szCs w:val="24"/>
          <w:lang w:val="en-US"/>
        </w:rPr>
        <w:t>Q</w:t>
      </w:r>
      <w:r w:rsidR="00610E8B" w:rsidRPr="007E7018">
        <w:rPr>
          <w:b/>
          <w:bCs/>
          <w:sz w:val="24"/>
          <w:szCs w:val="24"/>
          <w:lang w:val="en-US"/>
        </w:rPr>
        <w:t>1</w:t>
      </w:r>
      <w:r w:rsidRPr="007E7018">
        <w:rPr>
          <w:b/>
          <w:bCs/>
          <w:sz w:val="24"/>
          <w:szCs w:val="24"/>
          <w:lang w:val="en-US"/>
        </w:rPr>
        <w:t>.</w:t>
      </w:r>
      <w:r w:rsidR="001554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Consider </w:t>
      </w:r>
      <w:r w:rsidR="001554FF">
        <w:rPr>
          <w:sz w:val="24"/>
          <w:szCs w:val="24"/>
          <w:lang w:val="en-US"/>
        </w:rPr>
        <w:t>the resource allocation problem where a</w:t>
      </w:r>
      <w:r>
        <w:rPr>
          <w:sz w:val="24"/>
          <w:szCs w:val="24"/>
          <w:lang w:val="en-US"/>
        </w:rPr>
        <w:t xml:space="preserve"> client submits the following demands in three consecutive time slots</w:t>
      </w:r>
      <w:r w:rsidR="00F04D7B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74"/>
        <w:gridCol w:w="2835"/>
      </w:tblGrid>
      <w:tr w:rsidR="00772D36" w:rsidTr="002E2F5F">
        <w:trPr>
          <w:trHeight w:val="398"/>
        </w:trPr>
        <w:tc>
          <w:tcPr>
            <w:tcW w:w="1674" w:type="dxa"/>
          </w:tcPr>
          <w:p w:rsidR="00772D36" w:rsidRDefault="00772D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Time-Slot</w:t>
            </w:r>
            <w:r w:rsidR="002E2F5F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(t)</m:t>
              </m:r>
            </m:oMath>
          </w:p>
        </w:tc>
        <w:tc>
          <w:tcPr>
            <w:tcW w:w="2835" w:type="dxa"/>
          </w:tcPr>
          <w:p w:rsidR="00772D36" w:rsidRDefault="002E2F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Demand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 (d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</w:tr>
      <w:tr w:rsidR="00772D36" w:rsidTr="002E2F5F">
        <w:tc>
          <w:tcPr>
            <w:tcW w:w="1674" w:type="dxa"/>
          </w:tcPr>
          <w:p w:rsidR="00772D36" w:rsidRDefault="00772D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772D36" w:rsidRDefault="002E2F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(30, 2)</w:t>
            </w:r>
          </w:p>
        </w:tc>
      </w:tr>
      <w:tr w:rsidR="00772D36" w:rsidTr="002E2F5F">
        <w:tc>
          <w:tcPr>
            <w:tcW w:w="1674" w:type="dxa"/>
          </w:tcPr>
          <w:p w:rsidR="00772D36" w:rsidRDefault="00772D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772D36" w:rsidRDefault="002E2F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(10, 1)</w:t>
            </w:r>
          </w:p>
        </w:tc>
      </w:tr>
      <w:tr w:rsidR="00772D36" w:rsidTr="002E2F5F">
        <w:tc>
          <w:tcPr>
            <w:tcW w:w="1674" w:type="dxa"/>
          </w:tcPr>
          <w:p w:rsidR="00772D36" w:rsidRDefault="00772D3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772D36" w:rsidRDefault="002E2F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772D36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, 2)</w:t>
            </w:r>
          </w:p>
        </w:tc>
      </w:tr>
    </w:tbl>
    <w:p w:rsidR="005E21D1" w:rsidRDefault="00F04D7B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5E21D1">
        <w:rPr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5E21D1">
        <w:rPr>
          <w:rFonts w:eastAsiaTheme="minorEastAsia"/>
          <w:sz w:val="24"/>
          <w:szCs w:val="24"/>
          <w:lang w:val="en-US"/>
        </w:rPr>
        <w:t xml:space="preserve"> represents the number of VMs requested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5E21D1">
        <w:rPr>
          <w:rFonts w:eastAsiaTheme="minorEastAsia"/>
          <w:sz w:val="24"/>
          <w:szCs w:val="24"/>
          <w:lang w:val="en-US"/>
        </w:rPr>
        <w:t xml:space="preserve"> represents the duration of service request. </w:t>
      </w:r>
      <w:r w:rsidR="001554FF">
        <w:rPr>
          <w:sz w:val="24"/>
          <w:szCs w:val="24"/>
          <w:lang w:val="en-US"/>
        </w:rPr>
        <w:t>Assume that time slot (1) is the starting slot such that no VMs have been allocated a priori. There are 80 VMs available at the edge node.</w:t>
      </w:r>
    </w:p>
    <w:p w:rsidR="00772D36" w:rsidRDefault="001554FF">
      <w:pPr>
        <w:rPr>
          <w:sz w:val="24"/>
          <w:szCs w:val="24"/>
          <w:lang w:val="en-US"/>
        </w:rPr>
      </w:pPr>
      <w:r w:rsidRPr="00B1313C">
        <w:rPr>
          <w:b/>
          <w:bCs/>
          <w:sz w:val="24"/>
          <w:szCs w:val="24"/>
          <w:lang w:val="en-US"/>
        </w:rPr>
        <w:t>(a)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>Resource allocation using p</w:t>
      </w:r>
      <w:r w:rsidRPr="001554FF">
        <w:rPr>
          <w:b/>
          <w:bCs/>
          <w:i/>
          <w:iCs/>
          <w:sz w:val="24"/>
          <w:szCs w:val="24"/>
          <w:lang w:val="en-US"/>
        </w:rPr>
        <w:t xml:space="preserve">rivate </w:t>
      </w:r>
      <w:r>
        <w:rPr>
          <w:b/>
          <w:bCs/>
          <w:i/>
          <w:iCs/>
          <w:sz w:val="24"/>
          <w:szCs w:val="24"/>
          <w:lang w:val="en-US"/>
        </w:rPr>
        <w:t>c</w:t>
      </w:r>
      <w:r w:rsidRPr="001554FF">
        <w:rPr>
          <w:b/>
          <w:bCs/>
          <w:i/>
          <w:iCs/>
          <w:sz w:val="24"/>
          <w:szCs w:val="24"/>
          <w:lang w:val="en-US"/>
        </w:rPr>
        <w:t>loud</w:t>
      </w:r>
      <w:r>
        <w:rPr>
          <w:sz w:val="24"/>
          <w:szCs w:val="24"/>
          <w:lang w:val="en-US"/>
        </w:rPr>
        <w:t>: Suppose that we have our own private cloud and a</w:t>
      </w:r>
      <w:r w:rsidR="00772D36">
        <w:rPr>
          <w:sz w:val="24"/>
          <w:szCs w:val="24"/>
          <w:lang w:val="en-US"/>
        </w:rPr>
        <w:t xml:space="preserve"> policy </w:t>
      </w:r>
      <w:r w:rsidR="006310E7">
        <w:rPr>
          <w:sz w:val="24"/>
          <w:szCs w:val="24"/>
          <w:lang w:val="en-US"/>
        </w:rPr>
        <w:t xml:space="preserve">has been deployed </w:t>
      </w:r>
      <w:r>
        <w:rPr>
          <w:sz w:val="24"/>
          <w:szCs w:val="24"/>
          <w:lang w:val="en-US"/>
        </w:rPr>
        <w:t xml:space="preserve">to allocate VMs as per client demands </w:t>
      </w:r>
      <w:r w:rsidR="006310E7">
        <w:rPr>
          <w:sz w:val="24"/>
          <w:szCs w:val="24"/>
          <w:lang w:val="en-US"/>
        </w:rPr>
        <w:t xml:space="preserve">which </w:t>
      </w:r>
      <w:r w:rsidR="00772D36">
        <w:rPr>
          <w:sz w:val="24"/>
          <w:szCs w:val="24"/>
          <w:lang w:val="en-US"/>
        </w:rPr>
        <w:t>outputs the following actions at each timeslot: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74"/>
        <w:gridCol w:w="2835"/>
      </w:tblGrid>
      <w:tr w:rsidR="00772D36" w:rsidTr="002E2F5F">
        <w:trPr>
          <w:trHeight w:val="463"/>
        </w:trPr>
        <w:tc>
          <w:tcPr>
            <w:tcW w:w="1674" w:type="dxa"/>
          </w:tcPr>
          <w:p w:rsidR="00772D36" w:rsidRDefault="002E2F5F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Time-Slot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(t)</m:t>
              </m:r>
            </m:oMath>
          </w:p>
        </w:tc>
        <w:tc>
          <w:tcPr>
            <w:tcW w:w="2835" w:type="dxa"/>
          </w:tcPr>
          <w:p w:rsidR="006310E7" w:rsidRPr="006310E7" w:rsidRDefault="005E21D1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Policy</w:t>
            </w:r>
            <w:r w:rsidR="00772D36">
              <w:rPr>
                <w:sz w:val="24"/>
                <w:szCs w:val="24"/>
                <w:lang w:val="en-US"/>
              </w:rPr>
              <w:t xml:space="preserve"> Action</w:t>
            </w:r>
            <w:r w:rsidR="006310E7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</w:tr>
      <w:tr w:rsidR="00772D36" w:rsidTr="002E2F5F">
        <w:tc>
          <w:tcPr>
            <w:tcW w:w="1674" w:type="dxa"/>
          </w:tcPr>
          <w:p w:rsidR="00772D36" w:rsidRDefault="00772D36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772D36" w:rsidRDefault="00772D36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</w:tr>
      <w:tr w:rsidR="00772D36" w:rsidTr="002E2F5F">
        <w:tc>
          <w:tcPr>
            <w:tcW w:w="1674" w:type="dxa"/>
          </w:tcPr>
          <w:p w:rsidR="00772D36" w:rsidRDefault="00772D36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772D36" w:rsidRDefault="00772D36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</w:t>
            </w:r>
          </w:p>
        </w:tc>
      </w:tr>
      <w:tr w:rsidR="00772D36" w:rsidTr="002E2F5F">
        <w:tc>
          <w:tcPr>
            <w:tcW w:w="1674" w:type="dxa"/>
          </w:tcPr>
          <w:p w:rsidR="00772D36" w:rsidRDefault="00772D36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772D36" w:rsidRDefault="00772D36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</w:tr>
    </w:tbl>
    <w:p w:rsidR="00347874" w:rsidRDefault="00347874">
      <w:pPr>
        <w:rPr>
          <w:sz w:val="24"/>
          <w:szCs w:val="24"/>
          <w:lang w:val="en-US"/>
        </w:rPr>
      </w:pPr>
    </w:p>
    <w:p w:rsidR="00F04D7B" w:rsidRDefault="00347874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action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∈ [0, 1])</m:t>
        </m:r>
      </m:oMath>
      <w:r>
        <w:rPr>
          <w:rFonts w:eastAsiaTheme="minorEastAsia"/>
          <w:sz w:val="24"/>
          <w:szCs w:val="24"/>
          <w:lang w:val="en-US"/>
        </w:rPr>
        <w:t xml:space="preserve"> represents the ratio of VMs allocated </w:t>
      </w:r>
      <w:r w:rsidR="005E21D1">
        <w:rPr>
          <w:rFonts w:eastAsiaTheme="minorEastAsia"/>
          <w:sz w:val="24"/>
          <w:szCs w:val="24"/>
          <w:lang w:val="en-US"/>
        </w:rPr>
        <w:t>from the</w:t>
      </w:r>
      <w:r w:rsidR="007E7018">
        <w:rPr>
          <w:rFonts w:eastAsiaTheme="minorEastAsia"/>
          <w:sz w:val="24"/>
          <w:szCs w:val="24"/>
          <w:lang w:val="en-US"/>
        </w:rPr>
        <w:t xml:space="preserve"> private</w:t>
      </w:r>
      <w:r w:rsidR="005E21D1">
        <w:rPr>
          <w:rFonts w:eastAsiaTheme="minorEastAsia"/>
          <w:sz w:val="24"/>
          <w:szCs w:val="24"/>
          <w:lang w:val="en-US"/>
        </w:rPr>
        <w:t xml:space="preserve"> cloud to the total VMs requested by client at time slot t. The remaining VMs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(1 - 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 w:rsidR="005E21D1">
        <w:rPr>
          <w:rFonts w:eastAsiaTheme="minorEastAsia"/>
          <w:sz w:val="24"/>
          <w:szCs w:val="24"/>
          <w:lang w:val="en-US"/>
        </w:rPr>
        <w:t xml:space="preserve">  are allocated from the edge node. </w:t>
      </w:r>
    </w:p>
    <w:p w:rsidR="00772D36" w:rsidRDefault="005E21D1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Calculate the cost of collaborative cloud side computing </w:t>
      </w:r>
      <m:oMath>
        <m:r>
          <w:rPr>
            <w:rFonts w:ascii="Cambria Math" w:hAnsi="Cambria Math"/>
            <w:sz w:val="24"/>
            <w:szCs w:val="24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pri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242B7D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in the given private cloud setting at each of the three time slots.</w:t>
      </w:r>
      <w:r w:rsidR="00B87F7F">
        <w:rPr>
          <w:rFonts w:eastAsiaTheme="minorEastAsia"/>
          <w:sz w:val="24"/>
          <w:szCs w:val="24"/>
          <w:lang w:val="en-US"/>
        </w:rPr>
        <w:t xml:space="preserve"> Also, find out the number of VMs that will be available </w:t>
      </w:r>
      <w:r w:rsidR="00DB6A31">
        <w:rPr>
          <w:rFonts w:eastAsiaTheme="minorEastAsia"/>
          <w:sz w:val="24"/>
          <w:szCs w:val="24"/>
          <w:lang w:val="en-US"/>
        </w:rPr>
        <w:t xml:space="preserve">at the edge node at the </w:t>
      </w:r>
      <w:r w:rsidR="001554FF">
        <w:rPr>
          <w:rFonts w:eastAsiaTheme="minorEastAsia"/>
          <w:sz w:val="24"/>
          <w:szCs w:val="24"/>
          <w:lang w:val="en-US"/>
        </w:rPr>
        <w:t>beginning</w:t>
      </w:r>
      <w:r w:rsidR="00DB6A31">
        <w:rPr>
          <w:rFonts w:eastAsiaTheme="minorEastAsia"/>
          <w:sz w:val="24"/>
          <w:szCs w:val="24"/>
          <w:lang w:val="en-US"/>
        </w:rPr>
        <w:t xml:space="preserve"> of fourth time slot.</w:t>
      </w:r>
    </w:p>
    <w:p w:rsidR="006310E7" w:rsidRDefault="00631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Constants: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5927"/>
        <w:gridCol w:w="1842"/>
      </w:tblGrid>
      <w:tr w:rsidR="006310E7" w:rsidTr="00771898">
        <w:trPr>
          <w:trHeight w:val="463"/>
        </w:trPr>
        <w:tc>
          <w:tcPr>
            <w:tcW w:w="5927" w:type="dxa"/>
          </w:tcPr>
          <w:p w:rsidR="006310E7" w:rsidRDefault="006310E7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Constant</w:t>
            </w:r>
          </w:p>
        </w:tc>
        <w:tc>
          <w:tcPr>
            <w:tcW w:w="1842" w:type="dxa"/>
          </w:tcPr>
          <w:p w:rsidR="006310E7" w:rsidRPr="006310E7" w:rsidRDefault="006310E7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</w:tr>
      <w:tr w:rsidR="006310E7" w:rsidTr="00771898">
        <w:tc>
          <w:tcPr>
            <w:tcW w:w="5927" w:type="dxa"/>
          </w:tcPr>
          <w:p w:rsidR="006310E7" w:rsidRDefault="006310E7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Stand-by cost of a VM at</w:t>
            </w:r>
            <w:r w:rsidR="00771898">
              <w:rPr>
                <w:sz w:val="24"/>
                <w:szCs w:val="24"/>
                <w:lang w:val="en-US"/>
              </w:rPr>
              <w:t xml:space="preserve"> the</w:t>
            </w:r>
            <w:r>
              <w:rPr>
                <w:sz w:val="24"/>
                <w:szCs w:val="24"/>
                <w:lang w:val="en-US"/>
              </w:rPr>
              <w:t xml:space="preserve"> edge node</w:t>
            </w:r>
            <w:r w:rsidR="00C85F2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sub>
              </m:sSub>
            </m:oMath>
            <w:r w:rsidR="00C85F2B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6310E7" w:rsidRDefault="00C85F2B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</w:t>
            </w:r>
          </w:p>
        </w:tc>
      </w:tr>
      <w:tr w:rsidR="006310E7" w:rsidTr="00771898">
        <w:tc>
          <w:tcPr>
            <w:tcW w:w="5927" w:type="dxa"/>
          </w:tcPr>
          <w:p w:rsidR="006310E7" w:rsidRDefault="006310E7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Computing cost of a VM at </w:t>
            </w:r>
            <w:r w:rsidR="00771898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edge node</w:t>
            </w:r>
            <w:r w:rsidR="00C85F2B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oMath>
            <w:r w:rsidR="00C85F2B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6310E7" w:rsidRDefault="00C85F2B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</w:t>
            </w:r>
          </w:p>
        </w:tc>
      </w:tr>
      <w:tr w:rsidR="00610E8B" w:rsidTr="00771898">
        <w:tc>
          <w:tcPr>
            <w:tcW w:w="5927" w:type="dxa"/>
          </w:tcPr>
          <w:p w:rsidR="00610E8B" w:rsidRDefault="00610E8B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Computing cost of a private cloud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610E8B" w:rsidRDefault="00610E8B" w:rsidP="002059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3.00</w:t>
            </w:r>
          </w:p>
        </w:tc>
      </w:tr>
    </w:tbl>
    <w:p w:rsidR="00610E8B" w:rsidRDefault="00610E8B" w:rsidP="00610E8B">
      <w:pPr>
        <w:rPr>
          <w:sz w:val="24"/>
          <w:szCs w:val="24"/>
          <w:lang w:val="en-US"/>
        </w:rPr>
      </w:pPr>
    </w:p>
    <w:p w:rsidR="007E7018" w:rsidRDefault="007E7018" w:rsidP="007E7018">
      <w:pPr>
        <w:rPr>
          <w:sz w:val="24"/>
          <w:szCs w:val="24"/>
          <w:lang w:val="en-US"/>
        </w:rPr>
      </w:pPr>
    </w:p>
    <w:p w:rsidR="00070C06" w:rsidRDefault="00B1313C" w:rsidP="00070C06">
      <w:pPr>
        <w:rPr>
          <w:sz w:val="24"/>
          <w:szCs w:val="24"/>
          <w:lang w:val="en-US"/>
        </w:rPr>
      </w:pPr>
      <w:r w:rsidRPr="00B1313C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b</w:t>
      </w:r>
      <w:r w:rsidRPr="00B1313C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1554FF">
        <w:rPr>
          <w:b/>
          <w:bCs/>
          <w:i/>
          <w:iCs/>
          <w:sz w:val="24"/>
          <w:szCs w:val="24"/>
          <w:lang w:val="en-US"/>
        </w:rPr>
        <w:t>Resource allocation using public</w:t>
      </w:r>
      <w:r w:rsidR="001554FF" w:rsidRPr="001554FF">
        <w:rPr>
          <w:b/>
          <w:bCs/>
          <w:i/>
          <w:iCs/>
          <w:sz w:val="24"/>
          <w:szCs w:val="24"/>
          <w:lang w:val="en-US"/>
        </w:rPr>
        <w:t xml:space="preserve"> </w:t>
      </w:r>
      <w:r w:rsidR="001554FF">
        <w:rPr>
          <w:b/>
          <w:bCs/>
          <w:i/>
          <w:iCs/>
          <w:sz w:val="24"/>
          <w:szCs w:val="24"/>
          <w:lang w:val="en-US"/>
        </w:rPr>
        <w:t>c</w:t>
      </w:r>
      <w:r w:rsidR="001554FF" w:rsidRPr="001554FF">
        <w:rPr>
          <w:b/>
          <w:bCs/>
          <w:i/>
          <w:iCs/>
          <w:sz w:val="24"/>
          <w:szCs w:val="24"/>
          <w:lang w:val="en-US"/>
        </w:rPr>
        <w:t>loud</w:t>
      </w:r>
      <w:r w:rsidR="001554FF">
        <w:rPr>
          <w:sz w:val="24"/>
          <w:szCs w:val="24"/>
          <w:lang w:val="en-US"/>
        </w:rPr>
        <w:t xml:space="preserve">: </w:t>
      </w:r>
      <w:r w:rsidR="007E7018">
        <w:rPr>
          <w:sz w:val="24"/>
          <w:szCs w:val="24"/>
          <w:lang w:val="en-US"/>
        </w:rPr>
        <w:t xml:space="preserve">Assume </w:t>
      </w:r>
      <w:r w:rsidR="00070C06">
        <w:rPr>
          <w:sz w:val="24"/>
          <w:szCs w:val="24"/>
          <w:lang w:val="en-US"/>
        </w:rPr>
        <w:t xml:space="preserve">that </w:t>
      </w:r>
      <w:r w:rsidR="007E7018">
        <w:rPr>
          <w:sz w:val="24"/>
          <w:szCs w:val="24"/>
          <w:lang w:val="en-US"/>
        </w:rPr>
        <w:t>we</w:t>
      </w:r>
      <w:r w:rsidR="006D0D3D">
        <w:rPr>
          <w:sz w:val="24"/>
          <w:szCs w:val="24"/>
          <w:lang w:val="en-US"/>
        </w:rPr>
        <w:t xml:space="preserve"> have</w:t>
      </w:r>
      <w:r w:rsidR="007E7018">
        <w:rPr>
          <w:sz w:val="24"/>
          <w:szCs w:val="24"/>
          <w:lang w:val="en-US"/>
        </w:rPr>
        <w:t xml:space="preserve"> </w:t>
      </w:r>
      <w:r w:rsidR="00070C06">
        <w:rPr>
          <w:sz w:val="24"/>
          <w:szCs w:val="24"/>
          <w:lang w:val="en-US"/>
        </w:rPr>
        <w:t>replaced the private cloud with a public cloud setting with a new policy that outputs the following actions at each timeslot: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1674"/>
        <w:gridCol w:w="2835"/>
      </w:tblGrid>
      <w:tr w:rsidR="00070C06" w:rsidTr="002E04C9">
        <w:trPr>
          <w:trHeight w:val="463"/>
        </w:trPr>
        <w:tc>
          <w:tcPr>
            <w:tcW w:w="1674" w:type="dxa"/>
          </w:tcPr>
          <w:p w:rsidR="00070C06" w:rsidRDefault="00070C06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Time-Slot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(t)</m:t>
              </m:r>
            </m:oMath>
          </w:p>
        </w:tc>
        <w:tc>
          <w:tcPr>
            <w:tcW w:w="2835" w:type="dxa"/>
          </w:tcPr>
          <w:p w:rsidR="00070C06" w:rsidRPr="006310E7" w:rsidRDefault="00070C06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Policy Action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 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</w:tr>
      <w:tr w:rsidR="00070C06" w:rsidTr="002E04C9">
        <w:tc>
          <w:tcPr>
            <w:tcW w:w="1674" w:type="dxa"/>
          </w:tcPr>
          <w:p w:rsidR="00070C06" w:rsidRDefault="00070C06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070C06" w:rsidRDefault="00DB6A31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B2548D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070C06">
              <w:rPr>
                <w:sz w:val="24"/>
                <w:szCs w:val="24"/>
                <w:lang w:val="en-US"/>
              </w:rPr>
              <w:t>0.4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70C06" w:rsidTr="002E04C9">
        <w:tc>
          <w:tcPr>
            <w:tcW w:w="1674" w:type="dxa"/>
          </w:tcPr>
          <w:p w:rsidR="00070C06" w:rsidRDefault="00070C06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070C06" w:rsidRDefault="00DB6A31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B2548D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="00070C06">
              <w:rPr>
                <w:sz w:val="24"/>
                <w:szCs w:val="24"/>
                <w:lang w:val="en-US"/>
              </w:rPr>
              <w:t>0.7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70C06" w:rsidTr="002E04C9">
        <w:tc>
          <w:tcPr>
            <w:tcW w:w="1674" w:type="dxa"/>
          </w:tcPr>
          <w:p w:rsidR="00070C06" w:rsidRDefault="00070C06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070C06" w:rsidRDefault="00DB6A31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(2, </w:t>
            </w:r>
            <w:r w:rsidR="00070C06">
              <w:rPr>
                <w:sz w:val="24"/>
                <w:szCs w:val="24"/>
                <w:lang w:val="en-US"/>
              </w:rPr>
              <w:t>0.8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070C06" w:rsidRDefault="00070C06" w:rsidP="00070C06">
      <w:pPr>
        <w:rPr>
          <w:sz w:val="24"/>
          <w:szCs w:val="24"/>
          <w:lang w:val="en-US"/>
        </w:rPr>
      </w:pPr>
    </w:p>
    <w:p w:rsidR="00070C06" w:rsidRDefault="006D0D3D" w:rsidP="00070C06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where</w:t>
      </w:r>
      <w:r w:rsidR="00070C06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∈ {0=on_demand,  1=reserved,  2=spot}) </m:t>
        </m:r>
      </m:oMath>
      <w:r w:rsidR="00070C06">
        <w:rPr>
          <w:rFonts w:eastAsiaTheme="minorEastAsia"/>
          <w:sz w:val="24"/>
          <w:szCs w:val="24"/>
          <w:lang w:val="en-US"/>
        </w:rPr>
        <w:t xml:space="preserve">represents the type of public cloud instance that was allocated. Calculate the cost of collaborative cloud side computing </w:t>
      </w:r>
      <m:oMath>
        <m:r>
          <w:rPr>
            <w:rFonts w:ascii="Cambria Math" w:hAnsi="Cambria Math"/>
            <w:sz w:val="24"/>
            <w:szCs w:val="24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pub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070C06">
        <w:rPr>
          <w:rFonts w:eastAsiaTheme="minorEastAsia"/>
          <w:sz w:val="24"/>
          <w:szCs w:val="24"/>
          <w:lang w:val="en-US"/>
        </w:rPr>
        <w:t xml:space="preserve"> in the given </w:t>
      </w:r>
      <w:r w:rsidR="00DB6A31">
        <w:rPr>
          <w:rFonts w:eastAsiaTheme="minorEastAsia"/>
          <w:sz w:val="24"/>
          <w:szCs w:val="24"/>
          <w:lang w:val="en-US"/>
        </w:rPr>
        <w:t>public</w:t>
      </w:r>
      <w:r w:rsidR="00070C06">
        <w:rPr>
          <w:rFonts w:eastAsiaTheme="minorEastAsia"/>
          <w:sz w:val="24"/>
          <w:szCs w:val="24"/>
          <w:lang w:val="en-US"/>
        </w:rPr>
        <w:t xml:space="preserve"> cloud setting at each of the three time slot</w:t>
      </w:r>
      <w:r w:rsidR="00B1313C">
        <w:rPr>
          <w:rFonts w:eastAsiaTheme="minorEastAsia"/>
          <w:sz w:val="24"/>
          <w:szCs w:val="24"/>
          <w:lang w:val="en-US"/>
        </w:rPr>
        <w:t xml:space="preserve">. Assume that the same demands </w:t>
      </w:r>
      <w:r w:rsidR="00BC45E3">
        <w:rPr>
          <w:rFonts w:eastAsiaTheme="minorEastAsia"/>
          <w:sz w:val="24"/>
          <w:szCs w:val="24"/>
          <w:lang w:val="en-US"/>
        </w:rPr>
        <w:t xml:space="preserve">were </w:t>
      </w:r>
      <w:r w:rsidR="00B1313C">
        <w:rPr>
          <w:rFonts w:eastAsiaTheme="minorEastAsia"/>
          <w:sz w:val="24"/>
          <w:szCs w:val="24"/>
          <w:lang w:val="en-US"/>
        </w:rPr>
        <w:t xml:space="preserve">made by client as in part (a) and that </w:t>
      </w:r>
      <w:r w:rsidR="00B2548D">
        <w:rPr>
          <w:rFonts w:eastAsiaTheme="minorEastAsia"/>
          <w:sz w:val="24"/>
          <w:szCs w:val="24"/>
          <w:lang w:val="en-US"/>
        </w:rPr>
        <w:t>no customization is performed on reserved instances.</w:t>
      </w:r>
    </w:p>
    <w:p w:rsidR="00954B27" w:rsidRDefault="006002DF" w:rsidP="00954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</w:t>
      </w:r>
      <w:r w:rsidR="00954B27">
        <w:rPr>
          <w:sz w:val="24"/>
          <w:szCs w:val="24"/>
          <w:lang w:val="en-US"/>
        </w:rPr>
        <w:t>Constants:</w:t>
      </w:r>
    </w:p>
    <w:tbl>
      <w:tblPr>
        <w:tblStyle w:val="TableGrid"/>
        <w:tblW w:w="0" w:type="auto"/>
        <w:tblInd w:w="731" w:type="dxa"/>
        <w:tblLook w:val="04A0" w:firstRow="1" w:lastRow="0" w:firstColumn="1" w:lastColumn="0" w:noHBand="0" w:noVBand="1"/>
      </w:tblPr>
      <w:tblGrid>
        <w:gridCol w:w="5927"/>
        <w:gridCol w:w="1842"/>
      </w:tblGrid>
      <w:tr w:rsidR="00954B27" w:rsidTr="002E04C9">
        <w:trPr>
          <w:trHeight w:val="463"/>
        </w:trPr>
        <w:tc>
          <w:tcPr>
            <w:tcW w:w="5927" w:type="dxa"/>
          </w:tcPr>
          <w:p w:rsidR="00954B27" w:rsidRDefault="00954B27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Constant</w:t>
            </w:r>
          </w:p>
        </w:tc>
        <w:tc>
          <w:tcPr>
            <w:tcW w:w="1842" w:type="dxa"/>
          </w:tcPr>
          <w:p w:rsidR="00954B27" w:rsidRPr="006310E7" w:rsidRDefault="00954B27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</w:tr>
      <w:tr w:rsidR="00954B27" w:rsidTr="002E04C9">
        <w:tc>
          <w:tcPr>
            <w:tcW w:w="5927" w:type="dxa"/>
          </w:tcPr>
          <w:p w:rsidR="00954B27" w:rsidRDefault="00954B27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Unit price of on-demand instance in public cloud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od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954B27" w:rsidRDefault="00B2548D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954B27" w:rsidTr="002E04C9">
        <w:tc>
          <w:tcPr>
            <w:tcW w:w="5927" w:type="dxa"/>
          </w:tcPr>
          <w:p w:rsidR="00954B27" w:rsidRDefault="00B2548D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Unit price of reserved instance in public cloud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re</m:t>
                  </m:r>
                </m:sub>
              </m:sSub>
            </m:oMath>
            <w:r w:rsidR="00954B27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954B27" w:rsidRDefault="00B2548D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</w:tr>
      <w:tr w:rsidR="00954B27" w:rsidTr="002E04C9">
        <w:tc>
          <w:tcPr>
            <w:tcW w:w="5927" w:type="dxa"/>
          </w:tcPr>
          <w:p w:rsidR="00954B27" w:rsidRDefault="00954B27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Customization price of reserved instance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upfront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954B27" w:rsidRDefault="00B2548D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</w:p>
        </w:tc>
      </w:tr>
      <w:tr w:rsidR="00B2548D" w:rsidTr="002E04C9">
        <w:tc>
          <w:tcPr>
            <w:tcW w:w="5927" w:type="dxa"/>
          </w:tcPr>
          <w:p w:rsidR="00B2548D" w:rsidRDefault="00B2548D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Unit price of spot instance in public cloud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B2548D" w:rsidRDefault="00B2548D" w:rsidP="002E04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B1313C"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954B27" w:rsidRDefault="00954B27" w:rsidP="00070C06">
      <w:pPr>
        <w:rPr>
          <w:sz w:val="24"/>
          <w:szCs w:val="24"/>
          <w:lang w:val="en-US"/>
        </w:rPr>
      </w:pPr>
    </w:p>
    <w:p w:rsidR="007E7018" w:rsidRDefault="007E7018" w:rsidP="00610E8B">
      <w:pPr>
        <w:rPr>
          <w:sz w:val="24"/>
          <w:szCs w:val="24"/>
          <w:lang w:val="en-US"/>
        </w:rPr>
      </w:pPr>
    </w:p>
    <w:p w:rsidR="00A75794" w:rsidRDefault="00610E8B" w:rsidP="00610E8B">
      <w:pPr>
        <w:rPr>
          <w:sz w:val="24"/>
          <w:szCs w:val="24"/>
          <w:lang w:val="en-US"/>
        </w:rPr>
      </w:pPr>
      <w:r w:rsidRPr="007E7018">
        <w:rPr>
          <w:b/>
          <w:bCs/>
          <w:sz w:val="24"/>
          <w:szCs w:val="24"/>
          <w:lang w:val="en-US"/>
        </w:rPr>
        <w:t>Q</w:t>
      </w:r>
      <w:r w:rsidR="00BC45E3">
        <w:rPr>
          <w:b/>
          <w:bCs/>
          <w:sz w:val="24"/>
          <w:szCs w:val="24"/>
          <w:lang w:val="en-US"/>
        </w:rPr>
        <w:t>2</w:t>
      </w:r>
      <w:r w:rsidRPr="007E7018">
        <w:rPr>
          <w:b/>
          <w:b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8A27B2" w:rsidRDefault="00A75794" w:rsidP="00610E8B">
      <w:pPr>
        <w:rPr>
          <w:sz w:val="24"/>
          <w:szCs w:val="24"/>
          <w:lang w:val="en-US"/>
        </w:rPr>
      </w:pPr>
      <w:r w:rsidRPr="00A75794">
        <w:rPr>
          <w:b/>
          <w:bCs/>
          <w:sz w:val="24"/>
          <w:szCs w:val="24"/>
          <w:lang w:val="en-US"/>
        </w:rPr>
        <w:t xml:space="preserve">(a) </w:t>
      </w:r>
      <w:r w:rsidR="00610E8B">
        <w:rPr>
          <w:sz w:val="24"/>
          <w:szCs w:val="24"/>
          <w:lang w:val="en-US"/>
        </w:rPr>
        <w:t>Why do the authors choose to apply P-DQN in the case of public cloud resource allocation as opposed to DDPG as in the case of private cloud resource allocation?</w:t>
      </w:r>
    </w:p>
    <w:p w:rsidR="008A27B2" w:rsidRDefault="008A27B2" w:rsidP="00610E8B">
      <w:pPr>
        <w:rPr>
          <w:sz w:val="24"/>
          <w:szCs w:val="24"/>
          <w:lang w:val="en-US"/>
        </w:rPr>
      </w:pPr>
      <w:r w:rsidRPr="008A27B2">
        <w:rPr>
          <w:b/>
          <w:bCs/>
          <w:sz w:val="24"/>
          <w:szCs w:val="24"/>
          <w:lang w:val="en-US"/>
        </w:rPr>
        <w:t xml:space="preserve">(b) </w:t>
      </w:r>
      <w:r>
        <w:rPr>
          <w:sz w:val="24"/>
          <w:szCs w:val="24"/>
          <w:lang w:val="en-US"/>
        </w:rPr>
        <w:t>How is the exploration-v/s-exploitation managed in P-DQN given that there are parameterized actions?</w:t>
      </w:r>
    </w:p>
    <w:p w:rsidR="008A27B2" w:rsidRDefault="008A27B2">
      <w:pPr>
        <w:rPr>
          <w:b/>
          <w:bCs/>
          <w:sz w:val="24"/>
          <w:szCs w:val="24"/>
          <w:lang w:val="en-US"/>
        </w:rPr>
      </w:pPr>
    </w:p>
    <w:p w:rsidR="00A75794" w:rsidRPr="0051361A" w:rsidRDefault="008A27B2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Q3.</w:t>
      </w:r>
      <w:r w:rsidR="00A75794" w:rsidRPr="00A75794">
        <w:rPr>
          <w:b/>
          <w:bCs/>
          <w:sz w:val="24"/>
          <w:szCs w:val="24"/>
          <w:lang w:val="en-US"/>
        </w:rPr>
        <w:t xml:space="preserve"> </w:t>
      </w:r>
      <w:r w:rsidR="00BC45E3">
        <w:rPr>
          <w:sz w:val="24"/>
          <w:szCs w:val="24"/>
          <w:lang w:val="en-US"/>
        </w:rPr>
        <w:t>Suppose that we want to extend the resource allocation model to a new setting where there are multiple edge nodes, each having a fixed amount of available VMs</w:t>
      </w:r>
      <w:r w:rsidR="00A75794">
        <w:rPr>
          <w:sz w:val="24"/>
          <w:szCs w:val="24"/>
          <w:lang w:val="en-US"/>
        </w:rPr>
        <w:t>. The computation and stand-by cost of VMs may vary across different edge nodes</w:t>
      </w:r>
      <w:r w:rsidR="00BC45E3">
        <w:rPr>
          <w:sz w:val="24"/>
          <w:szCs w:val="24"/>
          <w:lang w:val="en-US"/>
        </w:rPr>
        <w:t xml:space="preserve">. </w:t>
      </w:r>
      <w:r w:rsidR="00A75794">
        <w:rPr>
          <w:sz w:val="24"/>
          <w:szCs w:val="24"/>
          <w:lang w:val="en-US"/>
        </w:rPr>
        <w:t>R</w:t>
      </w:r>
      <w:r w:rsidR="00BC45E3">
        <w:rPr>
          <w:sz w:val="24"/>
          <w:szCs w:val="24"/>
          <w:lang w:val="en-US"/>
        </w:rPr>
        <w:t>eformulate the</w:t>
      </w:r>
      <w:r w:rsidR="00A75794">
        <w:rPr>
          <w:sz w:val="24"/>
          <w:szCs w:val="24"/>
          <w:lang w:val="en-US"/>
        </w:rPr>
        <w:t xml:space="preserve"> resource allocation problem with new cost functions in the multi-edge setting. Suggest an appropriate action space for a policy in this new multi-edge setting. </w:t>
      </w:r>
      <w:r w:rsidR="00A75794" w:rsidRPr="00A75794">
        <w:rPr>
          <w:i/>
          <w:iCs/>
          <w:sz w:val="24"/>
          <w:szCs w:val="24"/>
          <w:lang w:val="en-US"/>
        </w:rPr>
        <w:t>Hint: exercise your</w:t>
      </w:r>
      <w:r w:rsidR="00A75794">
        <w:rPr>
          <w:i/>
          <w:iCs/>
          <w:sz w:val="24"/>
          <w:szCs w:val="24"/>
          <w:lang w:val="en-US"/>
        </w:rPr>
        <w:t xml:space="preserve"> creativ</w:t>
      </w:r>
      <w:r w:rsidR="000C3B52">
        <w:rPr>
          <w:i/>
          <w:iCs/>
          <w:sz w:val="24"/>
          <w:szCs w:val="24"/>
          <w:lang w:val="en-US"/>
        </w:rPr>
        <w:t>ity</w:t>
      </w:r>
      <w:r w:rsidR="00A75794" w:rsidRPr="00A75794">
        <w:rPr>
          <w:i/>
          <w:iCs/>
          <w:sz w:val="24"/>
          <w:szCs w:val="24"/>
          <w:lang w:val="en-US"/>
        </w:rPr>
        <w:t>.</w:t>
      </w:r>
    </w:p>
    <w:sectPr w:rsidR="00A75794" w:rsidRPr="0051361A" w:rsidSect="008B25E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ED"/>
    <w:rsid w:val="00044D23"/>
    <w:rsid w:val="00070C06"/>
    <w:rsid w:val="000C3B52"/>
    <w:rsid w:val="000F587B"/>
    <w:rsid w:val="0014002E"/>
    <w:rsid w:val="00147386"/>
    <w:rsid w:val="001554FF"/>
    <w:rsid w:val="00242B7D"/>
    <w:rsid w:val="0028132B"/>
    <w:rsid w:val="002E2F5F"/>
    <w:rsid w:val="00347874"/>
    <w:rsid w:val="004031E1"/>
    <w:rsid w:val="004238C1"/>
    <w:rsid w:val="00445B8C"/>
    <w:rsid w:val="004D2B32"/>
    <w:rsid w:val="00511FB2"/>
    <w:rsid w:val="0051361A"/>
    <w:rsid w:val="0054092D"/>
    <w:rsid w:val="005E21D1"/>
    <w:rsid w:val="006002DF"/>
    <w:rsid w:val="00610E8B"/>
    <w:rsid w:val="006310E7"/>
    <w:rsid w:val="006901AC"/>
    <w:rsid w:val="006D0D3D"/>
    <w:rsid w:val="00771898"/>
    <w:rsid w:val="00772D36"/>
    <w:rsid w:val="00790044"/>
    <w:rsid w:val="007E7018"/>
    <w:rsid w:val="008A27B2"/>
    <w:rsid w:val="008A61A7"/>
    <w:rsid w:val="008B25ED"/>
    <w:rsid w:val="00954B27"/>
    <w:rsid w:val="009B50BB"/>
    <w:rsid w:val="00A75794"/>
    <w:rsid w:val="00AB26F0"/>
    <w:rsid w:val="00B1313C"/>
    <w:rsid w:val="00B2548D"/>
    <w:rsid w:val="00B87F7F"/>
    <w:rsid w:val="00BC45E3"/>
    <w:rsid w:val="00C85F2B"/>
    <w:rsid w:val="00CD397A"/>
    <w:rsid w:val="00DB6A31"/>
    <w:rsid w:val="00E6051F"/>
    <w:rsid w:val="00EB7818"/>
    <w:rsid w:val="00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DF9F"/>
  <w15:chartTrackingRefBased/>
  <w15:docId w15:val="{553CD703-6E47-4A66-AC2E-51591196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5F"/>
    <w:rPr>
      <w:color w:val="808080"/>
    </w:rPr>
  </w:style>
  <w:style w:type="paragraph" w:styleId="ListParagraph">
    <w:name w:val="List Paragraph"/>
    <w:basedOn w:val="Normal"/>
    <w:uiPriority w:val="34"/>
    <w:qFormat/>
    <w:rsid w:val="00AB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ontiersin.org/articles/10.3389/fbioe.2022.908056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Sharma</dc:creator>
  <cp:keywords/>
  <dc:description/>
  <cp:lastModifiedBy>Nelson Sharma</cp:lastModifiedBy>
  <cp:revision>24</cp:revision>
  <dcterms:created xsi:type="dcterms:W3CDTF">2023-02-06T17:43:00Z</dcterms:created>
  <dcterms:modified xsi:type="dcterms:W3CDTF">2023-02-08T07:14:00Z</dcterms:modified>
</cp:coreProperties>
</file>