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5E22C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海草房门饰</w:t>
      </w:r>
    </w:p>
    <w:p w14:paraId="03BBEEED">
      <w:r>
        <w:rPr>
          <w:rFonts w:hint="eastAsia"/>
        </w:rPr>
        <w:t>海草房门饰以木质为基底，多搭配海草编织、木刻或简单彩绘装饰，题材多为几何纹、渔猎符号与吉祥纹样，风格质朴粗犷。它既加固了以海草为顶、木为骨的门扇结构，又适配沿海潮湿多风的气候，同时以充满渔家生活气息的装饰，传递着胶东渔民对自然的敬畏与对平安丰收的祈愿，是海草房极具地域辨识度的细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16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2026-03-27T06:29:47Z</dcterms:created>
  <dc:creator>ASUS</dc:creator>
  <cp:lastModifiedBy>孤独成性々</cp:lastModifiedBy>
  <dcterms:modified xsi:type="dcterms:W3CDTF">2026-03-27T06:30:03Z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9E069EE88A994774852B784A26F6B84C_12</vt:lpwstr>
  </property>
</Properties>
</file>