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8076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bookmarkStart w:id="0" w:name="_GoBack"/>
      <w:bookmarkEnd w:id="0"/>
      <w:r>
        <w:rPr>
          <w:rFonts w:hint="eastAsia"/>
        </w:rPr>
        <w:t>土掌房石虎装饰</w:t>
      </w:r>
    </w:p>
    <w:p w14:paraId="4E94D3D6">
      <w:r>
        <w:rPr>
          <w:rFonts w:hint="eastAsia"/>
        </w:rPr>
        <w:t>土掌房石虎装饰多以青石或砂石圆雕而成，造型威严粗犷，怒目圆睁、獠牙外露，兼具镇宅辟邪的民俗寓意与装饰功能。它常被安置于门楣、檐角或墙体显眼处，既呼应了彝族等少数民族对虎的图腾崇拜，又以质朴有力的雕刻风格，与土掌房夯土墙体的厚重质感相得益彰，成为乡土建筑中极具文化辨识度的装饰符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2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2026-03-27T06:17:06Z</dcterms:created>
  <dc:creator>ASUS</dc:creator>
  <cp:lastModifiedBy>孤独成性々</cp:lastModifiedBy>
  <dcterms:modified xsi:type="dcterms:W3CDTF">2026-03-27T06:17:15Z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EA82755F2A374DFC8B33427F5A3DD433_12</vt:lpwstr>
  </property>
</Properties>
</file>