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w:t>
      </w:r>
      <w:bookmarkStart w:id="0" w:name="_GoBack"/>
      <w:bookmarkEnd w:id="0"/>
      <w:r w:rsidRPr="00A96D25">
        <w:rPr>
          <w:rFonts w:ascii="Times New Roman" w:hAnsi="Times New Roman" w:cs="Times New Roman"/>
          <w:b/>
          <w:bCs/>
          <w:sz w:val="72"/>
          <w:szCs w:val="72"/>
        </w:rPr>
        <w:t>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9734AC"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sidR="00C02420">
              <w:rPr>
                <w:rFonts w:ascii="Times New Roman" w:eastAsia="Times New Roman" w:hAnsi="Times New Roman" w:cs="Times New Roman"/>
                <w:b/>
                <w:bCs/>
                <w:color w:val="000000"/>
                <w:szCs w:val="22"/>
              </w:rPr>
              <w:t>1.5</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C237F8">
              <w:rPr>
                <w:rFonts w:ascii="Times New Roman" w:eastAsia="Times New Roman" w:hAnsi="Times New Roman" w:cs="Times New Roman"/>
                <w:color w:val="000000"/>
                <w:szCs w:val="22"/>
              </w:rPr>
              <w:t>/10</w:t>
            </w:r>
            <w:r w:rsidR="00C237F8"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0242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95023A" w:rsidRDefault="00C02420" w:rsidP="00C0242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B559E6">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B559E6">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B559E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B559E6">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B559E6">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B559E6">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B559E6">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Ind w:w="298" w:type="dxa"/>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Ind w:w="-788" w:type="dxa"/>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B559E6">
            <w:pPr>
              <w:jc w:val="center"/>
              <w:rPr>
                <w:rFonts w:ascii="Times New Roman" w:hAnsi="Times New Roman" w:cs="Times New Roman"/>
                <w:sz w:val="20"/>
                <w:szCs w:val="20"/>
              </w:rPr>
            </w:pP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D6C" w:rsidRDefault="00962D6C" w:rsidP="00377BF0">
      <w:pPr>
        <w:spacing w:after="0" w:line="240" w:lineRule="auto"/>
      </w:pPr>
      <w:r>
        <w:separator/>
      </w:r>
    </w:p>
  </w:endnote>
  <w:endnote w:type="continuationSeparator" w:id="0">
    <w:p w:rsidR="00962D6C" w:rsidRDefault="00962D6C"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9E6" w:rsidRDefault="00B559E6">
    <w:pPr>
      <w:pStyle w:val="ab"/>
    </w:pPr>
  </w:p>
  <w:p w:rsidR="00B559E6" w:rsidRDefault="00B559E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559E6"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B559E6" w:rsidRPr="00393966" w:rsidRDefault="00B559E6"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559E6" w:rsidRPr="00393966" w:rsidRDefault="00B559E6"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B559E6" w:rsidRPr="00393966" w:rsidRDefault="00B559E6"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559E6" w:rsidRPr="00393966" w:rsidRDefault="00B559E6"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559E6" w:rsidRPr="00393966" w:rsidRDefault="00B559E6"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559E6" w:rsidRPr="00393966" w:rsidRDefault="00B559E6"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B559E6"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B559E6" w:rsidRPr="00393966" w:rsidRDefault="00B559E6"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B559E6" w:rsidRPr="00393966" w:rsidRDefault="00B559E6"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B559E6" w:rsidRPr="00393966" w:rsidRDefault="00B559E6"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B559E6" w:rsidRPr="00393966" w:rsidRDefault="00B559E6"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B559E6" w:rsidRPr="00393966" w:rsidRDefault="00B559E6"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B559E6" w:rsidRPr="00393966" w:rsidRDefault="00B559E6"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B559E6" w:rsidRDefault="00B559E6">
    <w:pPr>
      <w:pStyle w:val="ab"/>
    </w:pPr>
  </w:p>
  <w:p w:rsidR="00B559E6" w:rsidRDefault="00B559E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D6C" w:rsidRDefault="00962D6C" w:rsidP="00377BF0">
      <w:pPr>
        <w:spacing w:after="0" w:line="240" w:lineRule="auto"/>
      </w:pPr>
      <w:r>
        <w:separator/>
      </w:r>
    </w:p>
  </w:footnote>
  <w:footnote w:type="continuationSeparator" w:id="0">
    <w:p w:rsidR="00962D6C" w:rsidRDefault="00962D6C"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2D6C"/>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59E6"/>
    <w:rsid w:val="00B56DF7"/>
    <w:rsid w:val="00B62F70"/>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A6D56"/>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B3235"/>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7CAC8-A3C0-4150-A075-0A34BBBC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20</Pages>
  <Words>2856</Words>
  <Characters>16281</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255</cp:revision>
  <cp:lastPrinted>2014-10-22T05:06:00Z</cp:lastPrinted>
  <dcterms:created xsi:type="dcterms:W3CDTF">2014-05-25T11:24:00Z</dcterms:created>
  <dcterms:modified xsi:type="dcterms:W3CDTF">2014-10-22T05:24:00Z</dcterms:modified>
</cp:coreProperties>
</file>