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18"/>
        <w:gridCol w:w="2977"/>
        <w:gridCol w:w="992"/>
        <w:gridCol w:w="1134"/>
        <w:gridCol w:w="1276"/>
        <w:gridCol w:w="1275"/>
        <w:gridCol w:w="1560"/>
      </w:tblGrid>
      <w:tr w:rsidR="005B4FE9" w:rsidRPr="009734AC" w:rsidTr="00734975">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7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w:t>
            </w:r>
            <w:bookmarkStart w:id="3" w:name="_GoBack"/>
            <w:bookmarkEnd w:id="3"/>
            <w:r w:rsidRPr="009734AC">
              <w:rPr>
                <w:rFonts w:ascii="Times New Roman" w:eastAsia="Times New Roman" w:hAnsi="Times New Roman" w:cs="Times New Roman"/>
                <w:b/>
                <w:bCs/>
                <w:sz w:val="24"/>
                <w:szCs w:val="24"/>
              </w:rPr>
              <w:t>iewable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60"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734975">
        <w:trPr>
          <w:trHeight w:val="31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734975">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7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5"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914"/>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34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734975">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156323">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156323">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5B4FE9" w:rsidRDefault="005B4FE9"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2916BC">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3F1D2B">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1D2B">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1D2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3F1D2B">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A313AB" w:rsidRDefault="0095076E" w:rsidP="00D112E6">
      <w:pPr>
        <w:pStyle w:val="2"/>
        <w:jc w:val="both"/>
      </w:pPr>
      <w:bookmarkStart w:id="53" w:name="_Toc392492820"/>
      <w:bookmarkStart w:id="54" w:name="_Toc394349573"/>
      <w:r w:rsidRPr="00A313AB">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p w:rsidR="006027FE" w:rsidRDefault="006027FE" w:rsidP="008F6291">
      <w:pPr>
        <w:rPr>
          <w:rFonts w:ascii="Times New Roman" w:eastAsia="Times New Roman" w:hAnsi="Times New Roman" w:cs="Times New Roman"/>
          <w:color w:val="000000"/>
          <w:sz w:val="24"/>
          <w:szCs w:val="24"/>
        </w:rPr>
      </w:pPr>
    </w:p>
    <w:tbl>
      <w:tblPr>
        <w:tblW w:w="1494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95498B"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5817B3">
              <w:rPr>
                <w:rFonts w:ascii="Times New Roman" w:hAnsi="Times New Roman" w:cs="Times New Roman"/>
                <w:sz w:val="24"/>
                <w:szCs w:val="24"/>
              </w:rPr>
              <w:t>.1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817731"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6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D2B" w:rsidRDefault="003F1D2B" w:rsidP="00DC2462">
      <w:pPr>
        <w:spacing w:after="0" w:line="240" w:lineRule="auto"/>
      </w:pPr>
      <w:r>
        <w:separator/>
      </w:r>
    </w:p>
  </w:endnote>
  <w:endnote w:type="continuationSeparator" w:id="0">
    <w:p w:rsidR="003F1D2B" w:rsidRDefault="003F1D2B"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3B" w:rsidRDefault="0021733B">
    <w:pPr>
      <w:pStyle w:val="ac"/>
    </w:pPr>
  </w:p>
  <w:p w:rsidR="0021733B" w:rsidRPr="00765EB7" w:rsidRDefault="0021733B"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sidR="00C61367">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34975">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34975">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722857">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C6136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61367">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6136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722857">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C6136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61367">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6136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B6134C">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C61367" w:rsidRDefault="00C61367" w:rsidP="00722857">
          <w:pPr>
            <w:widowControl w:val="0"/>
            <w:suppressAutoHyphens/>
            <w:spacing w:after="0" w:line="240" w:lineRule="auto"/>
            <w:ind w:right="-108"/>
            <w:jc w:val="center"/>
            <w:outlineLvl w:val="0"/>
            <w:rPr>
              <w:rFonts w:ascii="Times New Roman" w:eastAsia="SimSun" w:hAnsi="Times New Roman" w:hint="cs"/>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6136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61367">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01789F">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D2B" w:rsidRDefault="003F1D2B" w:rsidP="00DC2462">
      <w:pPr>
        <w:spacing w:after="0" w:line="240" w:lineRule="auto"/>
      </w:pPr>
      <w:r>
        <w:separator/>
      </w:r>
    </w:p>
  </w:footnote>
  <w:footnote w:type="continuationSeparator" w:id="0">
    <w:p w:rsidR="003F1D2B" w:rsidRDefault="003F1D2B"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2F74"/>
    <w:rsid w:val="00707AD9"/>
    <w:rsid w:val="007155B9"/>
    <w:rsid w:val="00715D98"/>
    <w:rsid w:val="00722857"/>
    <w:rsid w:val="0072354D"/>
    <w:rsid w:val="00723ECD"/>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3E55"/>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5076E"/>
    <w:rsid w:val="0095140F"/>
    <w:rsid w:val="0095498B"/>
    <w:rsid w:val="00964FDF"/>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90C70-9EE2-40A2-81EB-CB13401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24</Pages>
  <Words>4029</Words>
  <Characters>22967</Characters>
  <Application>Microsoft Office Word</Application>
  <DocSecurity>0</DocSecurity>
  <Lines>191</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176</cp:revision>
  <cp:lastPrinted>2014-07-29T13:16:00Z</cp:lastPrinted>
  <dcterms:created xsi:type="dcterms:W3CDTF">2014-07-02T07:36:00Z</dcterms:created>
  <dcterms:modified xsi:type="dcterms:W3CDTF">2014-07-30T07:27:00Z</dcterms:modified>
</cp:coreProperties>
</file>