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</w:p>
    <w:p>
      <w:pPr>
        <w:spacing w:after="1440"/>
      </w:pPr>
      <w:r>
        <w:rPr>
          <w:rFonts w:ascii="Arial" w:hAnsi="Arial"/>
          <w:b/>
          <w:i w:val="0"/>
          <w:color w:val="D7194A"/>
          <w:sz w:val="34"/>
        </w:rPr>
        <w:t>TRANSANT</w:t>
      </w:r>
    </w:p>
    <w:p>
      <w:pPr>
        <w:spacing w:after="160"/>
      </w:pPr>
      <w:r>
        <w:rPr>
          <w:rFonts w:ascii="Arial" w:hAnsi="Arial"/>
          <w:b/>
          <w:i w:val="0"/>
          <w:color w:val="15364A"/>
          <w:sz w:val="60"/>
        </w:rPr>
        <w:t>Новый сайт TransAnt</w:t>
      </w:r>
    </w:p>
    <w:p>
      <w:pPr>
        <w:spacing w:after="520"/>
      </w:pPr>
      <w:r>
        <w:rPr>
          <w:rFonts w:ascii="Arial" w:hAnsi="Arial"/>
          <w:b w:val="0"/>
          <w:i w:val="0"/>
          <w:color w:val="274D60"/>
          <w:sz w:val="34"/>
        </w:rPr>
        <w:t>Структура, содержание и техническое задание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3F5"/>
          <w:left w:val="single" w:sz="0" w:color="EEF3F5"/>
          <w:bottom w:val="single" w:sz="0" w:color="EEF3F5"/>
          <w:right w:val="single" w:sz="0" w:color="EEF3F5"/>
          <w:insideH w:val="single" w:sz="0" w:color="EEF3F5"/>
          <w:insideV w:val="single" w:sz="0" w:color="EEF3F5"/>
        </w:tblBorders>
      </w:tblPr>
      <w:tblGrid>
        <w:gridCol w:w="9360"/>
      </w:tblGrid>
      <w:tr>
        <w:tc>
          <w:tcPr>
            <w:tcW w:type="dxa" w:w="9360"/>
            <w:shd w:fill="EEF3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D7194A"/>
                <w:sz w:val="18"/>
              </w:rPr>
              <w:t>СТАТУС ДОКУМЕНТА</w:t>
            </w:r>
          </w:p>
          <w:p>
            <w:r>
              <w:rPr>
                <w:rFonts w:ascii="Arial" w:hAnsi="Arial"/>
                <w:b/>
                <w:i w:val="0"/>
                <w:color w:val="15364A"/>
                <w:sz w:val="22"/>
              </w:rPr>
              <w:t>Рабочая русская версия для согласования. После утверждения тексты переводятся на английский, немецкий, украинский, польский и чешский языки.</w:t>
            </w:r>
          </w:p>
        </w:tc>
      </w:tr>
    </w:tbl>
    <w:p>
      <w:pPr>
        <w:spacing w:after="0"/>
      </w:pPr>
    </w:p>
    <w:p>
      <w:pPr>
        <w:spacing w:before="1800"/>
      </w:pPr>
      <w:r>
        <w:rPr>
          <w:rFonts w:ascii="Arial" w:hAnsi="Arial"/>
          <w:b w:val="0"/>
          <w:i/>
          <w:color w:val="606A70"/>
          <w:sz w:val="20"/>
        </w:rPr>
        <w:t>Подготовлено на основании сайта, созданного сыном Сергея Путинцева, каталога TransAnt 2026 и предоставленных материалов о компании.</w:t>
      </w:r>
    </w:p>
    <w:p>
      <w:r>
        <w:rPr>
          <w:rFonts w:ascii="Arial" w:hAnsi="Arial"/>
          <w:b/>
          <w:i w:val="0"/>
          <w:color w:val="606A70"/>
          <w:sz w:val="20"/>
        </w:rPr>
        <w:t>7 сентября 2026 года</w:t>
      </w:r>
    </w:p>
    <w:p>
      <w:pPr>
        <w:pStyle w:val="Title"/>
        <w:pageBreakBefore/>
      </w:pPr>
      <w:r>
        <w:rPr>
          <w:rFonts w:ascii="Arial" w:hAnsi="Arial"/>
        </w:rPr>
        <w:t>1. Решение и основные принципы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3F5"/>
          <w:left w:val="single" w:sz="0" w:color="EEF3F5"/>
          <w:bottom w:val="single" w:sz="0" w:color="EEF3F5"/>
          <w:right w:val="single" w:sz="0" w:color="EEF3F5"/>
          <w:insideH w:val="single" w:sz="0" w:color="EEF3F5"/>
          <w:insideV w:val="single" w:sz="0" w:color="EEF3F5"/>
        </w:tblBorders>
      </w:tblPr>
      <w:tblGrid>
        <w:gridCol w:w="9360"/>
      </w:tblGrid>
      <w:tr>
        <w:tc>
          <w:tcPr>
            <w:tcW w:type="dxa" w:w="9360"/>
            <w:shd w:fill="EEF3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D7194A"/>
                <w:sz w:val="18"/>
              </w:rPr>
              <w:t>РЕКОМЕНДАЦИЯ</w:t>
            </w:r>
          </w:p>
          <w:p>
            <w:r>
              <w:rPr>
                <w:rFonts w:ascii="Arial" w:hAnsi="Arial"/>
                <w:b/>
                <w:i w:val="0"/>
                <w:color w:val="15364A"/>
                <w:sz w:val="22"/>
              </w:rPr>
              <w:t>Сохранить сайт, созданный сыном, как единственную основу дальнейшей разработки. Он уже имеет правильную многостраничную архитектуру, пять языков и полноценные страницы моделей.</w:t>
            </w:r>
          </w:p>
        </w:tc>
      </w:tr>
    </w:tbl>
    <w:p>
      <w:pPr>
        <w:spacing w:after="0"/>
      </w:pPr>
    </w:p>
    <w:p>
      <w:r>
        <w:rPr>
          <w:rFonts w:ascii="Arial" w:hAnsi="Arial"/>
        </w:rPr>
        <w:t>Предложенный сторонней компанией одностраничный макет используется только для внутреннего сравнения. Поскольку TransAnt его не приобрёл, из него нельзя переносить дизайн, композицию, тексты, изображения, графические элементы или программный код.</w:t>
      </w:r>
    </w:p>
    <w:p>
      <w:r>
        <w:rPr>
          <w:rFonts w:ascii="Arial" w:hAnsi="Arial"/>
        </w:rPr>
        <w:t>Изменения следует выполнять в существующем визуальном языке сайта сына: светлый технический стиль, тёмно-синие и красные акценты, чертежи, крупные изображения вагонов и ясная структура данных.</w:t>
      </w:r>
    </w:p>
    <w:p>
      <w:pPr>
        <w:pStyle w:val="Heading2"/>
        <w:keepNext/>
      </w:pPr>
      <w:r>
        <w:rPr>
          <w:rFonts w:ascii="Arial" w:hAnsi="Arial"/>
        </w:rPr>
        <w:t>Обязательные правила содержания</w:t>
      </w:r>
    </w:p>
    <w:p>
      <w:pPr>
        <w:pStyle w:val="ListBullet"/>
      </w:pPr>
      <w:r>
        <w:rPr>
          <w:rFonts w:ascii="Arial" w:hAnsi="Arial"/>
        </w:rPr>
        <w:t>TransAnt позиционируется как разработчик, продавец и организация, сопровождающая вагонные решения, а не как самостоятельный производитель.</w:t>
      </w:r>
    </w:p>
    <w:p>
      <w:pPr>
        <w:pStyle w:val="ListBullet"/>
      </w:pPr>
      <w:r>
        <w:rPr>
          <w:rFonts w:ascii="Arial" w:hAnsi="Arial"/>
        </w:rPr>
        <w:t>Подробные характеристики публикуются только для конкретной модели; общие рекламные утверждения не должны автоматически распространяться на всё семейство.</w:t>
      </w:r>
    </w:p>
    <w:p>
      <w:pPr>
        <w:pStyle w:val="ListBullet"/>
      </w:pPr>
      <w:r>
        <w:rPr>
          <w:rFonts w:ascii="Arial" w:hAnsi="Arial"/>
        </w:rPr>
        <w:t>Высокопрочная сталь упоминается только для ранее разработанного семейства PRO, где это подтверждено применением Alform.</w:t>
      </w:r>
    </w:p>
    <w:p>
      <w:pPr>
        <w:pStyle w:val="ListBullet"/>
      </w:pPr>
      <w:r>
        <w:rPr>
          <w:rFonts w:ascii="Arial" w:hAnsi="Arial"/>
        </w:rPr>
        <w:t>Все цифры проходят отдельную техническую проверку перед публикацией на пяти языках.</w:t>
      </w:r>
    </w:p>
    <w:p>
      <w:pPr>
        <w:pStyle w:val="ListBullet"/>
      </w:pPr>
      <w:r>
        <w:rPr>
          <w:rFonts w:ascii="Arial" w:hAnsi="Arial"/>
        </w:rPr>
        <w:t>Главная страница должна быстро объяснять, кто такая TransAnt, какие вагоны доступны и как связаться с компанией.</w:t>
      </w:r>
    </w:p>
    <w:p>
      <w:pPr>
        <w:pStyle w:val="Heading2"/>
        <w:keepNext/>
      </w:pPr>
      <w:r>
        <w:rPr>
          <w:rFonts w:ascii="Arial" w:hAnsi="Arial"/>
        </w:rPr>
        <w:t>Приоритеты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936"/>
        <w:gridCol w:w="2951"/>
        <w:gridCol w:w="5472"/>
      </w:tblGrid>
      <w:tr>
        <w:trPr>
          <w:tblHeader w:val="true"/>
        </w:trPr>
        <w:tc>
          <w:tcPr>
            <w:tcW w:type="dxa" w:w="936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Приоритет</w:t>
            </w:r>
          </w:p>
        </w:tc>
        <w:tc>
          <w:tcPr>
            <w:tcW w:type="dxa" w:w="2951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Задача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Результат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1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Исправить навигацию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Видимый Home, закреплённое меню, раскрывающийся список Wagons</w:t>
            </w:r>
          </w:p>
        </w:tc>
      </w:tr>
      <w:tr>
        <w:tc>
          <w:tcPr>
            <w:tcW w:type="dxa" w:w="936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2</w:t>
            </w:r>
          </w:p>
        </w:tc>
        <w:tc>
          <w:tcPr>
            <w:tcW w:type="dxa" w:w="2951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Перестроить главную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Все семейства вагонов видны сразу; InnoTrans заметен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3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Переписать Company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Реальная информация о TransAnt, TAS Group и роли компании</w:t>
            </w:r>
          </w:p>
        </w:tc>
      </w:tr>
      <w:tr>
        <w:tc>
          <w:tcPr>
            <w:tcW w:type="dxa" w:w="936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4</w:t>
            </w:r>
          </w:p>
        </w:tc>
        <w:tc>
          <w:tcPr>
            <w:tcW w:type="dxa" w:w="2951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Улучшить страницы моделей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Блоки, внутристранничная навигация, сравнение вариантов</w:t>
            </w:r>
          </w:p>
        </w:tc>
      </w:tr>
      <w:t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5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Проверить данные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Исправленные размеры и таблицы во всех языковых версиях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rPr>
          <w:rFonts w:ascii="Arial" w:hAnsi="Arial"/>
        </w:rPr>
        <w:t>2. Предлагаемая структура сайта</w:t>
      </w:r>
    </w:p>
    <w:p>
      <w:pPr>
        <w:pStyle w:val="Heading2"/>
        <w:keepNext/>
      </w:pPr>
      <w:r>
        <w:rPr>
          <w:rFonts w:ascii="Arial" w:hAnsi="Arial"/>
        </w:rPr>
        <w:t>Главное меню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3F5"/>
          <w:left w:val="single" w:sz="0" w:color="EEF3F5"/>
          <w:bottom w:val="single" w:sz="0" w:color="EEF3F5"/>
          <w:right w:val="single" w:sz="0" w:color="EEF3F5"/>
          <w:insideH w:val="single" w:sz="0" w:color="EEF3F5"/>
          <w:insideV w:val="single" w:sz="0" w:color="EEF3F5"/>
        </w:tblBorders>
      </w:tblPr>
      <w:tblGrid>
        <w:gridCol w:w="9360"/>
      </w:tblGrid>
      <w:tr>
        <w:tc>
          <w:tcPr>
            <w:tcW w:type="dxa" w:w="9360"/>
            <w:shd w:fill="EEF3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D7194A"/>
                <w:sz w:val="18"/>
              </w:rPr>
              <w:t>МЕНЮ</w:t>
            </w:r>
          </w:p>
          <w:p>
            <w:r>
              <w:rPr>
                <w:rFonts w:ascii="Arial" w:hAnsi="Arial"/>
                <w:b/>
                <w:i w:val="0"/>
                <w:color w:val="15364A"/>
                <w:sz w:val="22"/>
              </w:rPr>
              <w:t>Home  |  Wagons ▼  |  Engineering &amp; Services  |  Projects  |  About TransAnt  |  InnoTrans 2026  |  Contact  |  Language</w:t>
            </w:r>
          </w:p>
        </w:tc>
      </w:tr>
    </w:tbl>
    <w:p>
      <w:pPr>
        <w:spacing w:after="0"/>
      </w:pPr>
    </w:p>
    <w:p>
      <w:r>
        <w:rPr>
          <w:rFonts w:ascii="Arial" w:hAnsi="Arial"/>
        </w:rPr>
        <w:t>Меню должно оставаться закреплённым при прокрутке. Логотип также ведёт на главную страницу, но отдельный пункт Home обязателен: посетитель не должен угадывать функцию логотипа.</w:t>
      </w:r>
    </w:p>
    <w:p>
      <w:pPr>
        <w:pStyle w:val="Heading2"/>
        <w:keepNext/>
      </w:pPr>
      <w:r>
        <w:rPr>
          <w:rFonts w:ascii="Arial" w:hAnsi="Arial"/>
        </w:rPr>
        <w:t>Раскрывающийся список Wagons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Семейство</w:t>
            </w:r>
          </w:p>
        </w:tc>
        <w:tc>
          <w:tcPr>
            <w:tcW w:type="dxa" w:w="684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Модели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Intermodal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UNO INTERMODAL 60 ft — Sgns(s)</w:t>
            </w:r>
          </w:p>
        </w:tc>
      </w:tr>
      <w:tr>
        <w:tc>
          <w:tcPr>
            <w:tcW w:type="dxa" w:w="25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Flat</w:t>
            </w:r>
          </w:p>
        </w:tc>
        <w:tc>
          <w:tcPr>
            <w:tcW w:type="dxa" w:w="684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UNO FLAT 60 ft — Rens / Relns / Rns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Timber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UNO TIMBER 60 ft — Rnoos / Snps</w:t>
            </w:r>
          </w:p>
        </w:tc>
      </w:tr>
      <w:tr>
        <w:tc>
          <w:tcPr>
            <w:tcW w:type="dxa" w:w="25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Multi / Open box</w:t>
            </w:r>
          </w:p>
        </w:tc>
        <w:tc>
          <w:tcPr>
            <w:tcW w:type="dxa" w:w="684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UNO MULTIBox 33 ft — Eamnos; UNO MULTI 40 ft и 56 ft — Eanos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Tank</w:t>
            </w:r>
          </w:p>
        </w:tc>
        <w:tc>
          <w:tcPr>
            <w:tcW w:type="dxa" w:w="6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UNO TANK 88 m³ — Zacns</w:t>
            </w:r>
          </w:p>
        </w:tc>
      </w:tr>
      <w:tr>
        <w:tc>
          <w:tcPr>
            <w:tcW w:type="dxa" w:w="25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PRO</w:t>
            </w:r>
          </w:p>
        </w:tc>
        <w:tc>
          <w:tcPr>
            <w:tcW w:type="dxa" w:w="684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Облегчённые 60-футовые платформы — реализованный проект и доступное решение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Дополнительные страницы</w:t>
      </w:r>
    </w:p>
    <w:p>
      <w:pPr>
        <w:pStyle w:val="ListBullet"/>
      </w:pPr>
      <w:r>
        <w:rPr>
          <w:rFonts w:ascii="Arial" w:hAnsi="Arial"/>
        </w:rPr>
        <w:t>Engineering &amp; Services — вместо нынешнего раздела Technology.</w:t>
      </w:r>
    </w:p>
    <w:p>
      <w:pPr>
        <w:pStyle w:val="ListBullet"/>
      </w:pPr>
      <w:r>
        <w:rPr>
          <w:rFonts w:ascii="Arial" w:hAnsi="Arial"/>
        </w:rPr>
        <w:t>Projects — завершённые и текущие проекты, включая семейство PRO.</w:t>
      </w:r>
    </w:p>
    <w:p>
      <w:pPr>
        <w:pStyle w:val="ListBullet"/>
      </w:pPr>
      <w:r>
        <w:rPr>
          <w:rFonts w:ascii="Arial" w:hAnsi="Arial"/>
        </w:rPr>
        <w:t>Quality &amp; Certificates — ISO 9001 и EN 15085-2 с изображениями документов.</w:t>
      </w:r>
    </w:p>
    <w:p>
      <w:pPr>
        <w:pStyle w:val="ListBullet"/>
      </w:pPr>
      <w:r>
        <w:rPr>
          <w:rFonts w:ascii="Arial" w:hAnsi="Arial"/>
        </w:rPr>
        <w:t>InnoTrans 2026 — приглашение, экспонаты, партнёры, схема и форма встречи.</w:t>
      </w:r>
    </w:p>
    <w:p>
      <w:pPr>
        <w:pStyle w:val="ListBullet"/>
      </w:pPr>
      <w:r>
        <w:rPr>
          <w:rFonts w:ascii="Arial" w:hAnsi="Arial"/>
        </w:rPr>
        <w:t>Imprint и Privacy — юридическая информация и правила обработки обращений.</w:t>
      </w:r>
    </w:p>
    <w:p>
      <w:pPr>
        <w:pStyle w:val="Title"/>
        <w:pageBreakBefore/>
      </w:pPr>
      <w:r>
        <w:rPr>
          <w:rFonts w:ascii="Arial" w:hAnsi="Arial"/>
        </w:rPr>
        <w:t>3. Главная страница</w:t>
      </w:r>
    </w:p>
    <w:p>
      <w:pPr>
        <w:pStyle w:val="Subtitle"/>
      </w:pPr>
      <w:r>
        <w:rPr>
          <w:rFonts w:ascii="Arial" w:hAnsi="Arial"/>
        </w:rPr>
        <w:t>Новая последовательность блоков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720"/>
        <w:gridCol w:w="2232"/>
        <w:gridCol w:w="6408"/>
      </w:tblGrid>
      <w:tr>
        <w:trPr>
          <w:tblHeader w:val="true"/>
        </w:trPr>
        <w:tc>
          <w:tcPr>
            <w:tcW w:type="dxa" w:w="72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223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Блок</w:t>
            </w:r>
          </w:p>
        </w:tc>
        <w:tc>
          <w:tcPr>
            <w:tcW w:type="dxa" w:w="640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01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Первый экран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Крупное изображение реального вагона или группы вагонов TransAnt; заметный логотип; один сильный заголовок; кнопки «Посмотреть вагоны» и «Встретиться на InnoTrans». Фотографию с доминирующим локомотивом лучше заменить.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02</w:t>
            </w:r>
          </w:p>
        </w:tc>
        <w:tc>
          <w:tcPr>
            <w:tcW w:type="dxa" w:w="223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InnoTrans 2026</w:t>
            </w:r>
          </w:p>
        </w:tc>
        <w:tc>
          <w:tcPr>
            <w:tcW w:type="dxa" w:w="640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Даты, Messe Berlin, Outdoor Display, номера мест, список экспонатов, тележка TAS Dniprovagonmash и кнопка планирования встречи.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03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Семейства вагонов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Пять-шесть горизонтальных карточек с изображениями всех семейств. На компьютере они видны одновременно, на телефоне прокручиваются горизонтально.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04</w:t>
            </w:r>
          </w:p>
        </w:tc>
        <w:tc>
          <w:tcPr>
            <w:tcW w:type="dxa" w:w="223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Что делает TransAnt</w:t>
            </w:r>
          </w:p>
        </w:tc>
        <w:tc>
          <w:tcPr>
            <w:tcW w:type="dxa" w:w="640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Пять шагов: анализ задачи, разработка, сертификация, координация изготовления, поставка и сопровождение.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05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Опыт и проекты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Краткий блок о серии PRO и трёх реализованных 60-футовых платформах.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06</w:t>
            </w:r>
          </w:p>
        </w:tc>
        <w:tc>
          <w:tcPr>
            <w:tcW w:type="dxa" w:w="223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Качество</w:t>
            </w:r>
          </w:p>
        </w:tc>
        <w:tc>
          <w:tcPr>
            <w:tcW w:type="dxa" w:w="640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Изображения сертификатов ISO 9001 и EN 15085-2; ссылки на документы.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07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TAS Group</w:t>
            </w:r>
          </w:p>
        </w:tc>
        <w:tc>
          <w:tcPr>
            <w:tcW w:type="dxa" w:w="6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Ясное указание принадлежности к TAS Group и связи с промышленными партнёрами.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08</w:t>
            </w:r>
          </w:p>
        </w:tc>
        <w:tc>
          <w:tcPr>
            <w:tcW w:type="dxa" w:w="223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Контакт</w:t>
            </w:r>
          </w:p>
        </w:tc>
        <w:tc>
          <w:tcPr>
            <w:tcW w:type="dxa" w:w="640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Короткая форма, прямой телефон и электронная почта.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Черновик первого сообщения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3F5"/>
          <w:left w:val="single" w:sz="0" w:color="EEF3F5"/>
          <w:bottom w:val="single" w:sz="0" w:color="EEF3F5"/>
          <w:right w:val="single" w:sz="0" w:color="EEF3F5"/>
          <w:insideH w:val="single" w:sz="0" w:color="EEF3F5"/>
          <w:insideV w:val="single" w:sz="0" w:color="EEF3F5"/>
        </w:tblBorders>
      </w:tblPr>
      <w:tblGrid>
        <w:gridCol w:w="9360"/>
      </w:tblGrid>
      <w:tr>
        <w:tc>
          <w:tcPr>
            <w:tcW w:type="dxa" w:w="9360"/>
            <w:shd w:fill="EEF3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D7194A"/>
                <w:sz w:val="18"/>
              </w:rPr>
              <w:t>ЗАГОЛОВОК</w:t>
            </w:r>
          </w:p>
          <w:p>
            <w:r>
              <w:rPr>
                <w:rFonts w:ascii="Arial" w:hAnsi="Arial"/>
                <w:b/>
                <w:i w:val="0"/>
                <w:color w:val="15364A"/>
                <w:sz w:val="22"/>
              </w:rPr>
              <w:t>Грузовые вагоны, разработанные под реальные транспортные задачи.</w:t>
            </w:r>
          </w:p>
        </w:tc>
      </w:tr>
    </w:tbl>
    <w:p>
      <w:pPr>
        <w:spacing w:after="0"/>
      </w:pPr>
    </w:p>
    <w:p>
      <w:pPr>
        <w:pStyle w:val="Lead"/>
      </w:pPr>
      <w:r>
        <w:rPr>
          <w:rFonts w:ascii="Arial" w:hAnsi="Arial"/>
        </w:rPr>
        <w:t>TransAnt разрабатывает, выводит на рынок и сопровождает грузовые вагонные решения для европейской сети стандартной колеи — от анализа груза и маршрута до сертификации, поставки и технической поддержки.</w:t>
      </w:r>
    </w:p>
    <w:p>
      <w:r>
        <w:rPr>
          <w:rFonts w:ascii="Arial" w:hAnsi="Arial"/>
        </w:rPr>
        <w:t>Кнопки: «Посмотреть вагоны» / «Встретиться на InnoTrans 2026».</w:t>
      </w:r>
    </w:p>
    <w:p>
      <w:pPr>
        <w:pStyle w:val="Title"/>
        <w:pageBreakBefore/>
      </w:pPr>
      <w:r>
        <w:rPr>
          <w:rFonts w:ascii="Arial" w:hAnsi="Arial"/>
        </w:rPr>
        <w:t>4. About TransAnt</w:t>
      </w:r>
    </w:p>
    <w:p>
      <w:pPr>
        <w:pStyle w:val="Subtitle"/>
      </w:pPr>
      <w:r>
        <w:rPr>
          <w:rFonts w:ascii="Arial" w:hAnsi="Arial"/>
        </w:rPr>
        <w:t>Переработанный русский текст</w:t>
      </w:r>
    </w:p>
    <w:p>
      <w:pPr>
        <w:pStyle w:val="Heading2"/>
        <w:keepNext/>
      </w:pPr>
      <w:r>
        <w:rPr>
          <w:rFonts w:ascii="Arial" w:hAnsi="Arial"/>
        </w:rPr>
        <w:t>Краткое представление</w:t>
      </w:r>
    </w:p>
    <w:p>
      <w:r>
        <w:rPr>
          <w:rFonts w:ascii="Arial" w:hAnsi="Arial"/>
        </w:rPr>
        <w:t>TransAnt GmbH — австрийская компания в составе TAS Group, основанная в Линце в 2020 году. Компания разрабатывает, предлагает клиентам и сопровождает грузовые вагоны для европейской железнодорожной сети стандартной колеи.</w:t>
      </w:r>
    </w:p>
    <w:p>
      <w:r>
        <w:rPr>
          <w:rFonts w:ascii="Arial" w:hAnsi="Arial"/>
        </w:rPr>
        <w:t>Работа TransAnt начинается с анализа груза, маршрута, способа погрузки и условий эксплуатации. На этой основе команда формирует концепцию вагона, координирует проектирование, испытания, сертификацию и подготовку производства совместно с квалифицированными промышленными партнёрами. После поставки компания продолжает техническое сопровождение продукта.</w:t>
      </w:r>
    </w:p>
    <w:p>
      <w:pPr>
        <w:pStyle w:val="Heading2"/>
        <w:keepNext/>
      </w:pPr>
      <w:r>
        <w:rPr>
          <w:rFonts w:ascii="Arial" w:hAnsi="Arial"/>
        </w:rPr>
        <w:t>Команда</w:t>
      </w:r>
    </w:p>
    <w:p>
      <w:r>
        <w:rPr>
          <w:rFonts w:ascii="Arial" w:hAnsi="Arial"/>
        </w:rPr>
        <w:t>В TransAnt работают специалисты в области конструирования, сертификации, качества, управления проектами, закупок и продаж. Сочетание инженерной и коммерческой компетенции позволяет вести проект от транспортной задачи клиента до готового вагонного решения.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Показатель</w:t>
            </w:r>
          </w:p>
        </w:tc>
        <w:tc>
          <w:tcPr>
            <w:tcW w:type="dxa" w:w="648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Данные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Команда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14 сотрудников</w:t>
            </w:r>
          </w:p>
        </w:tc>
      </w:tr>
      <w:tr>
        <w:tc>
          <w:tcPr>
            <w:tcW w:type="dxa" w:w="28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Инженерное ядро</w:t>
            </w:r>
          </w:p>
        </w:tc>
        <w:tc>
          <w:tcPr>
            <w:tcW w:type="dxa" w:w="64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6 внутренних инженеров по моделированию и проектированию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Головной офис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Линц, Австрия</w:t>
            </w:r>
          </w:p>
        </w:tc>
      </w:tr>
      <w:tr>
        <w:tc>
          <w:tcPr>
            <w:tcW w:type="dxa" w:w="28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Год основания</w:t>
            </w:r>
          </w:p>
        </w:tc>
        <w:tc>
          <w:tcPr>
            <w:tcW w:type="dxa" w:w="64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2020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Подход</w:t>
      </w:r>
    </w:p>
    <w:p>
      <w:r>
        <w:rPr>
          <w:rFonts w:ascii="Arial" w:hAnsi="Arial"/>
        </w:rPr>
        <w:t>Компания ориентируется не на универсальные обещания, а на измеримый результат для конкретного перевозочного процесса: подходящую грузоподъёмность, удобную погрузку, соответствие эксплуатационным ограничениям и экономически обоснованную конфигурацию.</w:t>
      </w:r>
    </w:p>
    <w:p>
      <w:pPr>
        <w:pStyle w:val="Heading2"/>
        <w:keepNext/>
      </w:pPr>
      <w:r>
        <w:rPr>
          <w:rFonts w:ascii="Arial" w:hAnsi="Arial"/>
        </w:rPr>
        <w:t>Принадлежность к TAS Group</w:t>
      </w:r>
    </w:p>
    <w:p>
      <w:r>
        <w:rPr>
          <w:rFonts w:ascii="Arial" w:hAnsi="Arial"/>
        </w:rPr>
        <w:t>TransAnt принадлежит TAS Group. Это соединяет европейскую инженерную и коммерческую работу TransAnt с промышленными и логистическими возможностями группы и помогает согласованно реализовывать проекты.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7E5"/>
          <w:left w:val="single" w:sz="0" w:color="FFF7E5"/>
          <w:bottom w:val="single" w:sz="0" w:color="FFF7E5"/>
          <w:right w:val="single" w:sz="0" w:color="FFF7E5"/>
          <w:insideH w:val="single" w:sz="0" w:color="FFF7E5"/>
          <w:insideV w:val="single" w:sz="0" w:color="FFF7E5"/>
        </w:tblBorders>
      </w:tblPr>
      <w:tblGrid>
        <w:gridCol w:w="9360"/>
      </w:tblGrid>
      <w:tr>
        <w:tc>
          <w:tcPr>
            <w:tcW w:type="dxa" w:w="9360"/>
            <w:shd w:fill="FFF7E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A77800"/>
                <w:sz w:val="18"/>
              </w:rPr>
              <w:t>ПРОВЕРИТЬ ПЕРЕД ПУБЛИКАЦИЕЙ</w:t>
            </w:r>
          </w:p>
          <w:p>
            <w:r>
              <w:rPr>
                <w:rFonts w:ascii="Arial" w:hAnsi="Arial"/>
                <w:b/>
                <w:i w:val="0"/>
                <w:color w:val="15364A"/>
                <w:sz w:val="22"/>
              </w:rPr>
              <w:t>Численность персонала обновлять при изменениях. Будущий TAS RAIL Holding упоминать только после официального решения акционеров.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rPr>
          <w:rFonts w:ascii="Arial" w:hAnsi="Arial"/>
        </w:rPr>
        <w:t>5. Engineering &amp; Services</w:t>
      </w:r>
    </w:p>
    <w:p>
      <w:pPr>
        <w:pStyle w:val="Subtitle"/>
      </w:pPr>
      <w:r>
        <w:rPr>
          <w:rFonts w:ascii="Arial" w:hAnsi="Arial"/>
        </w:rPr>
        <w:t>Раздел вместо Technology</w:t>
      </w:r>
    </w:p>
    <w:p>
      <w:pPr>
        <w:pStyle w:val="Lead"/>
      </w:pPr>
      <w:r>
        <w:rPr>
          <w:rFonts w:ascii="Arial" w:hAnsi="Arial"/>
        </w:rPr>
        <w:t>Нынешний раздел Technology в основном объясняет, как читать каталог, и повторяет информацию со страниц вагонов. Его следует заменить описанием реальной роли TransAnt.</w:t>
      </w:r>
    </w:p>
    <w:p>
      <w:pPr>
        <w:pStyle w:val="Heading2"/>
        <w:keepNext/>
      </w:pPr>
      <w:r>
        <w:rPr>
          <w:rFonts w:ascii="Arial" w:hAnsi="Arial"/>
        </w:rPr>
        <w:t>Разработка вагонов</w:t>
      </w:r>
    </w:p>
    <w:p>
      <w:r>
        <w:rPr>
          <w:rFonts w:ascii="Arial" w:hAnsi="Arial"/>
        </w:rPr>
        <w:t>Анализ транспортной задачи, формирование концепции, расчётные и конструкторские работы, выбор конфигурации и оборудования.</w:t>
      </w:r>
    </w:p>
    <w:p>
      <w:pPr>
        <w:pStyle w:val="Heading2"/>
        <w:keepNext/>
      </w:pPr>
      <w:r>
        <w:rPr>
          <w:rFonts w:ascii="Arial" w:hAnsi="Arial"/>
        </w:rPr>
        <w:t>Адаптация под клиента</w:t>
      </w:r>
    </w:p>
    <w:p>
      <w:r>
        <w:rPr>
          <w:rFonts w:ascii="Arial" w:hAnsi="Arial"/>
        </w:rPr>
        <w:t>Настройка модели под груз, способ погрузки, маршрут, терминальную инфраструктуру и эксплуатационные требования.</w:t>
      </w:r>
    </w:p>
    <w:p>
      <w:pPr>
        <w:pStyle w:val="Heading2"/>
        <w:keepNext/>
      </w:pPr>
      <w:r>
        <w:rPr>
          <w:rFonts w:ascii="Arial" w:hAnsi="Arial"/>
        </w:rPr>
        <w:t>Испытания и сертификация</w:t>
      </w:r>
    </w:p>
    <w:p>
      <w:r>
        <w:rPr>
          <w:rFonts w:ascii="Arial" w:hAnsi="Arial"/>
        </w:rPr>
        <w:t>Координация испытаний, оценки соответствия, технической документации и взаимодействия со специализированными организациями.</w:t>
      </w:r>
    </w:p>
    <w:p>
      <w:pPr>
        <w:pStyle w:val="Heading2"/>
        <w:keepNext/>
      </w:pPr>
      <w:r>
        <w:rPr>
          <w:rFonts w:ascii="Arial" w:hAnsi="Arial"/>
        </w:rPr>
        <w:t>Подготовка производства</w:t>
      </w:r>
    </w:p>
    <w:p>
      <w:r>
        <w:rPr>
          <w:rFonts w:ascii="Arial" w:hAnsi="Arial"/>
        </w:rPr>
        <w:t>Передача и сопровождение конструкторской документации, взаимодействие с изготовителями, поставщиками и специалистами по качеству.</w:t>
      </w:r>
    </w:p>
    <w:p>
      <w:pPr>
        <w:pStyle w:val="Heading2"/>
        <w:keepNext/>
      </w:pPr>
      <w:r>
        <w:rPr>
          <w:rFonts w:ascii="Arial" w:hAnsi="Arial"/>
        </w:rPr>
        <w:t>Поставка и сопровождение</w:t>
      </w:r>
    </w:p>
    <w:p>
      <w:r>
        <w:rPr>
          <w:rFonts w:ascii="Arial" w:hAnsi="Arial"/>
        </w:rPr>
        <w:t>Коммерческая реализация, координация поставки и техническая поддержка в течение жизненного цикла.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3F5"/>
          <w:left w:val="single" w:sz="0" w:color="EEF3F5"/>
          <w:bottom w:val="single" w:sz="0" w:color="EEF3F5"/>
          <w:right w:val="single" w:sz="0" w:color="EEF3F5"/>
          <w:insideH w:val="single" w:sz="0" w:color="EEF3F5"/>
          <w:insideV w:val="single" w:sz="0" w:color="EEF3F5"/>
        </w:tblBorders>
      </w:tblPr>
      <w:tblGrid>
        <w:gridCol w:w="9360"/>
      </w:tblGrid>
      <w:tr>
        <w:tc>
          <w:tcPr>
            <w:tcW w:type="dxa" w:w="9360"/>
            <w:shd w:fill="EEF3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D7194A"/>
                <w:sz w:val="18"/>
              </w:rPr>
              <w:t>КЛЮЧЕВАЯ ФОРМУЛИРОВКА</w:t>
            </w:r>
          </w:p>
          <w:p>
            <w:r>
              <w:rPr>
                <w:rFonts w:ascii="Arial" w:hAnsi="Arial"/>
                <w:b/>
                <w:i w:val="0"/>
                <w:color w:val="15364A"/>
                <w:sz w:val="22"/>
              </w:rPr>
              <w:t>TransAnt develops, markets and supports freight wagon solutions and coordinates their industrial implementation with qualified manufacturing partners.</w:t>
            </w:r>
          </w:p>
        </w:tc>
      </w:tr>
    </w:tbl>
    <w:p>
      <w:pPr>
        <w:spacing w:after="0"/>
      </w:pPr>
    </w:p>
    <w:p>
      <w:pPr>
        <w:pStyle w:val="Title"/>
        <w:pageBreakBefore/>
      </w:pPr>
      <w:r>
        <w:rPr>
          <w:rFonts w:ascii="Arial" w:hAnsi="Arial"/>
        </w:rPr>
        <w:t>6. Опыт: облегчённые платформы PRO</w:t>
      </w:r>
    </w:p>
    <w:p>
      <w:r>
        <w:rPr>
          <w:rFonts w:ascii="Arial" w:hAnsi="Arial"/>
        </w:rPr>
        <w:t>До начала разработки нового семейства UNO компания TransAnt создала облегчённые 60-футовые платформы серии PRO с применением высокопрочной стали Alform. Три таких вагона были реализованы клиентам.</w:t>
      </w:r>
    </w:p>
    <w:p>
      <w:r>
        <w:rPr>
          <w:rFonts w:ascii="Arial" w:hAnsi="Arial"/>
        </w:rPr>
        <w:t>Сниженная масса тары позволяет при соответствующих условиях эксплуатации перевозить до четырёх тонн дополнительного груза. Наибольший экономический эффект достигается на маршрутах, где увеличенная полезная нагрузка используется в обоих направлениях.</w:t>
      </w:r>
    </w:p>
    <w:p>
      <w:r>
        <w:rPr>
          <w:rFonts w:ascii="Arial" w:hAnsi="Arial"/>
        </w:rPr>
        <w:t>Из-за стоимости высокопрочной стали такое решение подходит не каждому перевозочному процессу. Однако для клиентов, способных регулярно использовать дополнительную грузоподъёмность, серия PRO остаётся доступным и потенциально выгодным вариантом.</w:t>
      </w:r>
    </w:p>
    <w:p>
      <w:pPr>
        <w:pStyle w:val="Heading2"/>
        <w:keepNext/>
      </w:pPr>
      <w:r>
        <w:rPr>
          <w:rFonts w:ascii="Arial" w:hAnsi="Arial"/>
        </w:rPr>
        <w:t>Как показывать на сайте</w:t>
      </w:r>
    </w:p>
    <w:p>
      <w:pPr>
        <w:pStyle w:val="ListBullet"/>
      </w:pPr>
      <w:r>
        <w:rPr>
          <w:rFonts w:ascii="Arial" w:hAnsi="Arial"/>
        </w:rPr>
        <w:t>Разместить в Projects / Track Record, а не смешивать с текущим семейством UNO.</w:t>
      </w:r>
    </w:p>
    <w:p>
      <w:pPr>
        <w:pStyle w:val="ListBullet"/>
      </w:pPr>
      <w:r>
        <w:rPr>
          <w:rFonts w:ascii="Arial" w:hAnsi="Arial"/>
        </w:rPr>
        <w:t>Показать реальные фотографии трёх вагонов и кратко описать задачу проекта.</w:t>
      </w:r>
    </w:p>
    <w:p>
      <w:pPr>
        <w:pStyle w:val="ListBullet"/>
      </w:pPr>
      <w:r>
        <w:rPr>
          <w:rFonts w:ascii="Arial" w:hAnsi="Arial"/>
        </w:rPr>
        <w:t>Указывать преимущество «до 4 т» только для соответствующих PRO-моделей и с оговоркой об условиях эксплуатации.</w:t>
      </w:r>
    </w:p>
    <w:p>
      <w:pPr>
        <w:pStyle w:val="ListBullet"/>
      </w:pPr>
      <w:r>
        <w:rPr>
          <w:rFonts w:ascii="Arial" w:hAnsi="Arial"/>
        </w:rPr>
        <w:t>Не писать, что все современные вагоны TransAnt изготовлены из высокопрочной стали.</w:t>
      </w:r>
    </w:p>
    <w:p>
      <w:pPr>
        <w:pStyle w:val="Title"/>
        <w:pageBreakBefore/>
      </w:pPr>
      <w:r>
        <w:rPr>
          <w:rFonts w:ascii="Arial" w:hAnsi="Arial"/>
        </w:rPr>
        <w:t>7. Страница InnoTrans 2026</w:t>
      </w:r>
    </w:p>
    <w:p>
      <w:pPr>
        <w:pStyle w:val="Heading2"/>
        <w:keepNext/>
      </w:pPr>
      <w:r>
        <w:rPr>
          <w:rFonts w:ascii="Arial" w:hAnsi="Arial"/>
        </w:rPr>
        <w:t>Основной текст приглашения</w:t>
      </w:r>
    </w:p>
    <w:p>
      <w:r>
        <w:rPr>
          <w:rFonts w:ascii="Arial" w:hAnsi="Arial"/>
        </w:rPr>
        <w:t>TransAnt и TAS Group приглашают посетителей InnoTrans 2026 познакомиться с новыми вагонными разработками и обсудить конкретные задачи железнодорожных перевозок. На открытой экспозиции в Берлине будут представлены вагоны TransAnt и тележка Y25 производства TAS Dniprovagonmash.</w:t>
      </w:r>
    </w:p>
    <w:p>
      <w:r>
        <w:rPr>
          <w:rFonts w:ascii="Arial" w:hAnsi="Arial"/>
        </w:rPr>
        <w:t>Посетители смогут встретиться с руководителями, коммерческой и инженерной командами, увидеть экспонаты в натуральную величину и обсудить возможную конфигурацию вагона для своего груза, маршрута и способа погрузки.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7056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Информация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Даты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22–25 сентября 2026 года</w:t>
            </w:r>
          </w:p>
        </w:tc>
      </w:tr>
      <w:tr>
        <w:tc>
          <w:tcPr>
            <w:tcW w:type="dxa" w:w="230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Место</w:t>
            </w:r>
          </w:p>
        </w:tc>
        <w:tc>
          <w:tcPr>
            <w:tcW w:type="dxa" w:w="7056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Messe Berlin, Outdoor Display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Экспозиция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T5/50, T5/55, T5/60 и O5/55</w:t>
            </w:r>
          </w:p>
        </w:tc>
      </w:tr>
      <w:tr>
        <w:tc>
          <w:tcPr>
            <w:tcW w:type="dxa" w:w="230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Экспонаты</w:t>
            </w:r>
          </w:p>
        </w:tc>
        <w:tc>
          <w:tcPr>
            <w:tcW w:type="dxa" w:w="7056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Подтвердить окончательный перечень перед публикацией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Встреча</w:t>
            </w:r>
          </w:p>
        </w:tc>
        <w:tc>
          <w:tcPr>
            <w:tcW w:type="dxa" w:w="70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Кнопка Arrange a meeting / Запланировать встречу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Карта</w:t>
      </w:r>
    </w:p>
    <w:p>
      <w:r>
        <w:rPr>
          <w:rFonts w:ascii="Arial" w:hAnsi="Arial"/>
        </w:rPr>
        <w:t>Использовать две разные карты:</w:t>
      </w:r>
    </w:p>
    <w:p>
      <w:pPr>
        <w:pStyle w:val="ListBullet"/>
      </w:pPr>
      <w:r>
        <w:rPr>
          <w:rFonts w:ascii="Arial" w:hAnsi="Arial"/>
        </w:rPr>
        <w:t>Google Maps — только для маршрута до Messe Berlin.</w:t>
      </w:r>
    </w:p>
    <w:p>
      <w:pPr>
        <w:pStyle w:val="ListBullet"/>
      </w:pPr>
      <w:r>
        <w:rPr>
          <w:rFonts w:ascii="Arial" w:hAnsi="Arial"/>
        </w:rPr>
        <w:t>Собственная увеличенная схема выставочной территории — павильоны, наружные пути, ближайшие входы и четыре места TransAnt/TAS Group.</w:t>
      </w:r>
    </w:p>
    <w:p>
      <w:r>
        <w:rPr>
          <w:rFonts w:ascii="Arial" w:hAnsi="Arial"/>
        </w:rPr>
        <w:t>Нельзя копировать официальный план InnoTrans на сайт без проверки права использования. Безопасный вариант — собственная упрощённая схема на основе разрешённых координат либо ссылка на официальную интерактивную карту.</w:t>
      </w:r>
    </w:p>
    <w:p>
      <w:pPr>
        <w:pStyle w:val="Heading2"/>
        <w:keepNext/>
      </w:pPr>
      <w:r>
        <w:rPr>
          <w:rFonts w:ascii="Arial" w:hAnsi="Arial"/>
        </w:rPr>
        <w:t>Партнёры</w:t>
      </w:r>
    </w:p>
    <w:p>
      <w:r>
        <w:rPr>
          <w:rFonts w:ascii="Arial" w:hAnsi="Arial"/>
        </w:rPr>
        <w:t>В отдельном блоке указать TAS Group и TAS Dniprovagonmash. Другие предприятия и партнёры называть только после подтверждения их участия и разрешения на использование названий и логотипов.</w:t>
      </w:r>
    </w:p>
    <w:p>
      <w:pPr>
        <w:pStyle w:val="Title"/>
        <w:pageBreakBefore/>
      </w:pPr>
      <w:r>
        <w:rPr>
          <w:rFonts w:ascii="Arial" w:hAnsi="Arial"/>
        </w:rPr>
        <w:t>8. Шаблон страницы конкретного вагона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720"/>
        <w:gridCol w:w="2088"/>
        <w:gridCol w:w="6552"/>
      </w:tblGrid>
      <w:tr>
        <w:trPr>
          <w:tblHeader w:val="true"/>
        </w:trPr>
        <w:tc>
          <w:tcPr>
            <w:tcW w:type="dxa" w:w="72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20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Блок</w:t>
            </w:r>
          </w:p>
        </w:tc>
        <w:tc>
          <w:tcPr>
            <w:tcW w:type="dxa" w:w="655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Содержание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01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Hero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Название, обозначение, 1–2 предложения, крупное изображение, кнопка запроса.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02</w:t>
            </w:r>
          </w:p>
        </w:tc>
        <w:tc>
          <w:tcPr>
            <w:tcW w:type="dxa" w:w="20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Key figures</w:t>
            </w:r>
          </w:p>
        </w:tc>
        <w:tc>
          <w:tcPr>
            <w:tcW w:type="dxa" w:w="655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Длина, масса тары, максимальная полезная нагрузка, габарит.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03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Overview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Назначение и ценность модели без повторения таблицы.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04</w:t>
            </w:r>
          </w:p>
        </w:tc>
        <w:tc>
          <w:tcPr>
            <w:tcW w:type="dxa" w:w="20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Cargo</w:t>
            </w:r>
          </w:p>
        </w:tc>
        <w:tc>
          <w:tcPr>
            <w:tcW w:type="dxa" w:w="655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Типичные грузы в компактных карточках.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05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Equipment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Стойки, стенки, пол, двери, контейнерные упоры и прочее оснащение.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06</w:t>
            </w:r>
          </w:p>
        </w:tc>
        <w:tc>
          <w:tcPr>
            <w:tcW w:type="dxa" w:w="20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Drawings</w:t>
            </w:r>
          </w:p>
        </w:tc>
        <w:tc>
          <w:tcPr>
            <w:tcW w:type="dxa" w:w="655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Вид сбоку, план и сечение с увеличением и скачиванием.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07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Technical data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Раскрывающиеся блоки: размеры и массы; эксплуатация; линейные нагрузки; сосредоточенные нагрузки.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08</w:t>
            </w:r>
          </w:p>
        </w:tc>
        <w:tc>
          <w:tcPr>
            <w:tcW w:type="dxa" w:w="20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Special features</w:t>
            </w:r>
          </w:p>
        </w:tc>
        <w:tc>
          <w:tcPr>
            <w:tcW w:type="dxa" w:w="655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Только особенности выбранной модели.</w:t>
            </w:r>
          </w:p>
        </w:tc>
      </w:tr>
      <w:t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09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Downloads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Технический лист или соответствующая страница каталога.</w:t>
            </w:r>
          </w:p>
        </w:tc>
      </w:tr>
      <w:tr>
        <w:tc>
          <w:tcPr>
            <w:tcW w:type="dxa" w:w="72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10</w:t>
            </w:r>
          </w:p>
        </w:tc>
        <w:tc>
          <w:tcPr>
            <w:tcW w:type="dxa" w:w="20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Related models</w:t>
            </w:r>
          </w:p>
        </w:tc>
        <w:tc>
          <w:tcPr>
            <w:tcW w:type="dxa" w:w="655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Ссылки на соседние варианты семейства.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Закреплённая навигация внутри страницы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EEF3F5"/>
          <w:left w:val="single" w:sz="0" w:color="EEF3F5"/>
          <w:bottom w:val="single" w:sz="0" w:color="EEF3F5"/>
          <w:right w:val="single" w:sz="0" w:color="EEF3F5"/>
          <w:insideH w:val="single" w:sz="0" w:color="EEF3F5"/>
          <w:insideV w:val="single" w:sz="0" w:color="EEF3F5"/>
        </w:tblBorders>
      </w:tblPr>
      <w:tblGrid>
        <w:gridCol w:w="9360"/>
      </w:tblGrid>
      <w:tr>
        <w:tc>
          <w:tcPr>
            <w:tcW w:type="dxa" w:w="9360"/>
            <w:shd w:fill="EEF3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D7194A"/>
                <w:sz w:val="18"/>
              </w:rPr>
              <w:t>ПОДМЕНЮ</w:t>
            </w:r>
          </w:p>
          <w:p>
            <w:r>
              <w:rPr>
                <w:rFonts w:ascii="Arial" w:hAnsi="Arial"/>
                <w:b/>
                <w:i w:val="0"/>
                <w:color w:val="15364A"/>
                <w:sz w:val="22"/>
              </w:rPr>
              <w:t>Overview  |  Cargo  |  Equipment  |  Technical data  |  Load limits  |  Downloads</w:t>
            </w:r>
          </w:p>
        </w:tc>
      </w:tr>
    </w:tbl>
    <w:p>
      <w:pPr>
        <w:spacing w:after="0"/>
      </w:pPr>
    </w:p>
    <w:p>
      <w:r>
        <w:rPr>
          <w:rFonts w:ascii="Arial" w:hAnsi="Arial"/>
        </w:rPr>
        <w:t>На странице семейства карточки моделей должны отличаться конкретными параметрами, а не общими рекламными фразами. Добавить кнопку Compare configurations.</w:t>
      </w:r>
    </w:p>
    <w:p>
      <w:pPr>
        <w:pStyle w:val="Title"/>
        <w:pageBreakBefore/>
      </w:pPr>
      <w:r>
        <w:rPr>
          <w:rFonts w:ascii="Arial" w:hAnsi="Arial"/>
        </w:rPr>
        <w:t>9.1. UNO INTERMODAL 60 ft</w:t>
      </w:r>
    </w:p>
    <w:p>
      <w:pPr>
        <w:pStyle w:val="Subtitle"/>
      </w:pPr>
      <w:r>
        <w:rPr>
          <w:rFonts w:ascii="Arial" w:hAnsi="Arial"/>
        </w:rPr>
        <w:t>Sgns(s) · Гибкая перевозка контейнеров с эффективным использованием грузоподъёмности.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Интермодальная платформа предназначена для перевозки 20-, 30- и 40-футовых ISO-контейнеров и сменных кузовов. Различные схемы размещения позволяют использовать вагон в разных интермодальных потоках, а оптимизированная масса тары помогает эффективнее использовать допустимую массу поезда.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Морские контейнеры; сменные кузова; интермодальные грузовые единицы; промышленные и потребительские грузы в контейнерах.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28 откидных контейнерных упоров</w:t>
      </w:r>
    </w:p>
    <w:p>
      <w:pPr>
        <w:pStyle w:val="ListBullet"/>
      </w:pPr>
      <w:r>
        <w:rPr>
          <w:rFonts w:ascii="Arial" w:hAnsi="Arial"/>
        </w:rPr>
        <w:t>несколько схем загрузки</w:t>
      </w:r>
    </w:p>
    <w:p>
      <w:pPr>
        <w:pStyle w:val="ListBullet"/>
      </w:pPr>
      <w:r>
        <w:rPr>
          <w:rFonts w:ascii="Arial" w:hAnsi="Arial"/>
        </w:rPr>
        <w:t>эксплуатация на европейской сети</w:t>
      </w:r>
    </w:p>
    <w:p>
      <w:pPr>
        <w:pStyle w:val="ListBullet"/>
      </w:pPr>
      <w:r>
        <w:rPr>
          <w:rFonts w:ascii="Arial" w:hAnsi="Arial"/>
        </w:rPr>
        <w:t>подготовка к DAC — при подтверждении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Sgns(s)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Оси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4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14 200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19 740 мм — исправленное значение для A-буферов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19,3 т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18 500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G1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Макс. нагрузка на колёсную пару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22,5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Скорость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до 120 км/ч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9.2. UNO FLAT 60 ft — Rens</w:t>
      </w:r>
    </w:p>
    <w:p>
      <w:pPr>
        <w:pStyle w:val="Subtitle"/>
      </w:pPr>
      <w:r>
        <w:rPr>
          <w:rFonts w:ascii="Arial" w:hAnsi="Arial"/>
        </w:rPr>
        <w:t>Одна платформа для разных длинномерных и промышленных грузов.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Универсальная платформа для перевозки стальной продукции, древесины, строительных материалов и других длинномерных или крупногабаритных грузов. Откидные боковые и торцевые стенки вместе с поворотными стойками позволяют адаптировать вагон к различным схемам погрузки и крепления.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Рулоны и листовой металл; профили и трубы; древесина; строительные материалы; длинномерные и проектные грузы.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16 поворотных стоек</w:t>
      </w:r>
    </w:p>
    <w:p>
      <w:pPr>
        <w:pStyle w:val="ListBullet"/>
      </w:pPr>
      <w:r>
        <w:rPr>
          <w:rFonts w:ascii="Arial" w:hAnsi="Arial"/>
        </w:rPr>
        <w:t>18 боковых стенок</w:t>
      </w:r>
    </w:p>
    <w:p>
      <w:pPr>
        <w:pStyle w:val="ListBullet"/>
      </w:pPr>
      <w:r>
        <w:rPr>
          <w:rFonts w:ascii="Arial" w:hAnsi="Arial"/>
        </w:rPr>
        <w:t>14 точек крепления к полу</w:t>
      </w:r>
    </w:p>
    <w:p>
      <w:pPr>
        <w:pStyle w:val="ListBullet"/>
      </w:pPr>
      <w:r>
        <w:rPr>
          <w:rFonts w:ascii="Arial" w:hAnsi="Arial"/>
        </w:rPr>
        <w:t>деревянный пол из ели толщиной 70 мм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Rens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14 360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19 900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22,5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18 500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ширина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2 646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G1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Скорость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100 км/ч по тормозу; конструкционная 120 км/ч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9.3. UNO FLAT 60 ft — Relns</w:t>
      </w:r>
    </w:p>
    <w:p>
      <w:pPr>
        <w:pStyle w:val="Subtitle"/>
      </w:pPr>
      <w:r>
        <w:rPr>
          <w:rFonts w:ascii="Arial" w:hAnsi="Arial"/>
        </w:rPr>
        <w:t>Просторная погрузочная площадка и гибкое обращение с промышленными грузами.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Платформа Relns сочетает большую полезную площадь с откидными боковыми стенками и прочным деревянным полом. Конфигурация рассчитана на стальную продукцию, оборудование, строительные материалы и другие генеральные грузы, для которых важны свободный доступ и надёжная опора.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Стальная продукция; строительные материалы; машины и оборудование; промышленные и генеральные грузы.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18 боковых стенок</w:t>
      </w:r>
    </w:p>
    <w:p>
      <w:pPr>
        <w:pStyle w:val="ListBullet"/>
      </w:pPr>
      <w:r>
        <w:rPr>
          <w:rFonts w:ascii="Arial" w:hAnsi="Arial"/>
        </w:rPr>
        <w:t>14 точек крепления к полу</w:t>
      </w:r>
    </w:p>
    <w:p>
      <w:pPr>
        <w:pStyle w:val="ListBullet"/>
      </w:pPr>
      <w:r>
        <w:rPr>
          <w:rFonts w:ascii="Arial" w:hAnsi="Arial"/>
        </w:rPr>
        <w:t>деревянный пол из ели 70 мм</w:t>
      </w:r>
    </w:p>
    <w:p>
      <w:pPr>
        <w:pStyle w:val="ListBullet"/>
      </w:pPr>
      <w:r>
        <w:rPr>
          <w:rFonts w:ascii="Arial" w:hAnsi="Arial"/>
        </w:rPr>
        <w:t>гибкая погрузка с разных сторон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Relns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14 360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19 900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22,0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18 526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ширина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2 646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G1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Скорость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100 км/ч по тормозу; конструкционная 120 км/ч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9.4. UNO FLAT 60 ft — Rns</w:t>
      </w:r>
    </w:p>
    <w:p>
      <w:pPr>
        <w:pStyle w:val="Subtitle"/>
      </w:pPr>
      <w:r>
        <w:rPr>
          <w:rFonts w:ascii="Arial" w:hAnsi="Arial"/>
        </w:rPr>
        <w:t>Надёжная платформа для длинных, тяжёлых и крупногабаритных грузов.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Модель Rns предназначена для перевозки профилей, труб, строительных элементов и тяжёлых длинномерных компонентов. Поворотные стойки и откидные подкладки позволяют подстраивать погрузочную поверхность под размеры груза и обеспечивать его надёжное размещение.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Стальные профили; трубы; строительные элементы; длинномерные промышленные компоненты; тяжёлые проектные грузы.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16 поворотных стоек</w:t>
      </w:r>
    </w:p>
    <w:p>
      <w:pPr>
        <w:pStyle w:val="ListBullet"/>
      </w:pPr>
      <w:r>
        <w:rPr>
          <w:rFonts w:ascii="Arial" w:hAnsi="Arial"/>
        </w:rPr>
        <w:t>16 откидных подкладок</w:t>
      </w:r>
    </w:p>
    <w:p>
      <w:pPr>
        <w:pStyle w:val="ListBullet"/>
      </w:pPr>
      <w:r>
        <w:rPr>
          <w:rFonts w:ascii="Arial" w:hAnsi="Arial"/>
        </w:rPr>
        <w:t>18 точек крепления</w:t>
      </w:r>
    </w:p>
    <w:p>
      <w:pPr>
        <w:pStyle w:val="ListBullet"/>
      </w:pPr>
      <w:r>
        <w:rPr>
          <w:rFonts w:ascii="Arial" w:hAnsi="Arial"/>
        </w:rPr>
        <w:t>деревянный пол из ели 70 мм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Rns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14 360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19 900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21,0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18 526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ширина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2 646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G1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Скорость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100 км/ч по тормозу; конструкционная 120 км/ч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9.5. UNO TIMBER 60 ft — Rnoos</w:t>
      </w:r>
    </w:p>
    <w:p>
      <w:pPr>
        <w:pStyle w:val="Subtitle"/>
      </w:pPr>
      <w:r>
        <w:rPr>
          <w:rFonts w:ascii="Arial" w:hAnsi="Arial"/>
        </w:rPr>
        <w:t>Высокая вместимость и надёжное удержание круглого леса.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Лесовоз рассчитан на перевозку круглого леса и пиломатериалов длиной 3, 4 и 5 метров. Оптимизированное расположение стоек помогает эффективно использовать погрузочное пространство, а конструкция удержания круглого леса снижает потребность в дополнительной обвязке.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Круглый лес; пиломатериалы; древесные и лесные материалы.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10 пар стоек</w:t>
      </w:r>
    </w:p>
    <w:p>
      <w:pPr>
        <w:pStyle w:val="ListBullet"/>
      </w:pPr>
      <w:r>
        <w:rPr>
          <w:rFonts w:ascii="Arial" w:hAnsi="Arial"/>
        </w:rPr>
        <w:t>7 дефлекторов</w:t>
      </w:r>
    </w:p>
    <w:p>
      <w:pPr>
        <w:pStyle w:val="ListBullet"/>
      </w:pPr>
      <w:r>
        <w:rPr>
          <w:rFonts w:ascii="Arial" w:hAnsi="Arial"/>
        </w:rPr>
        <w:t>18 боковых точек крепления</w:t>
      </w:r>
    </w:p>
    <w:p>
      <w:pPr>
        <w:pStyle w:val="ListBullet"/>
      </w:pPr>
      <w:r>
        <w:rPr>
          <w:rFonts w:ascii="Arial" w:hAnsi="Arial"/>
        </w:rPr>
        <w:t>схемы загрузки древесины 3/4/5 м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Rnoos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14 360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19 900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21,6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18 500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ширина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2 646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G2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Скорость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100 км/ч по тормозу; конструкционная 120 км/ч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9.6. UNO TIMBER 60 ft — Snps</w:t>
      </w:r>
    </w:p>
    <w:p>
      <w:pPr>
        <w:pStyle w:val="Subtitle"/>
      </w:pPr>
      <w:r>
        <w:rPr>
          <w:rFonts w:ascii="Arial" w:hAnsi="Arial"/>
        </w:rPr>
        <w:t>Оптимизированная платформа для эффективной лесной логистики.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Модель Snps предназначена для круглого леса, пиломатериалов и другой продукции лесной промышленности. Погрузочная геометрия и система стоек рассчитаны на эффективное размещение древесины разной длины, быстрое выполнение погрузочных операций и надёжное удержание груза.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Круглый лес; пиломатериалы; древесная продукция; другие лесные грузы.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10 пар стоек</w:t>
      </w:r>
    </w:p>
    <w:p>
      <w:pPr>
        <w:pStyle w:val="ListBullet"/>
      </w:pPr>
      <w:r>
        <w:rPr>
          <w:rFonts w:ascii="Arial" w:hAnsi="Arial"/>
        </w:rPr>
        <w:t>7 дефлекторов</w:t>
      </w:r>
    </w:p>
    <w:p>
      <w:pPr>
        <w:pStyle w:val="ListBullet"/>
      </w:pPr>
      <w:r>
        <w:rPr>
          <w:rFonts w:ascii="Arial" w:hAnsi="Arial"/>
        </w:rPr>
        <w:t>7 боковых лебёдок</w:t>
      </w:r>
    </w:p>
    <w:p>
      <w:pPr>
        <w:pStyle w:val="ListBullet"/>
      </w:pPr>
      <w:r>
        <w:rPr>
          <w:rFonts w:ascii="Arial" w:hAnsi="Arial"/>
        </w:rPr>
        <w:t>схемы загрузки древесины 3/4/5 м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Snps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14 360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19 900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20,5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18 500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ширина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2 529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G2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Скорость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100 км/ч по тормозу; конструкционная 120 км/ч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9.7. UNO MULTIBox 33 ft — Eamnos</w:t>
      </w:r>
    </w:p>
    <w:p>
      <w:pPr>
        <w:pStyle w:val="Subtitle"/>
      </w:pPr>
      <w:r>
        <w:rPr>
          <w:rFonts w:ascii="Arial" w:hAnsi="Arial"/>
        </w:rPr>
        <w:t>Компактный полувагон для тяжёлых и плотных навалочных грузов.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Компактная модель Eamnos разработана для металлолома, вторичного сырья и других грузов высокой плотности. Сочетание вместимости, прочной износостойкой конструкции и боковых дверей делает вагон подходящим для интенсивной работы в металлургии, переработке и строительстве.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Металлолом; чёрное и цветное вторичное сырьё; сырьё для металлургии; строительные материалы; другие плотные промышленные грузы.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объём 60,9 м³</w:t>
      </w:r>
    </w:p>
    <w:p>
      <w:pPr>
        <w:pStyle w:val="ListBullet"/>
      </w:pPr>
      <w:r>
        <w:rPr>
          <w:rFonts w:ascii="Arial" w:hAnsi="Arial"/>
        </w:rPr>
        <w:t>боковые двери 850 × 1 780 мм</w:t>
      </w:r>
    </w:p>
    <w:p>
      <w:pPr>
        <w:pStyle w:val="ListBullet"/>
      </w:pPr>
      <w:r>
        <w:rPr>
          <w:rFonts w:ascii="Arial" w:hAnsi="Arial"/>
        </w:rPr>
        <w:t>удобная погрузка и разгрузка</w:t>
      </w:r>
    </w:p>
    <w:p>
      <w:pPr>
        <w:pStyle w:val="ListBullet"/>
      </w:pPr>
      <w:r>
        <w:rPr>
          <w:rFonts w:ascii="Arial" w:hAnsi="Arial"/>
        </w:rPr>
        <w:t>конструкция для интенсивной эксплуатации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Eamnos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6 500 мм — исправленное 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11 500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20,0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10 240 мм — исправленное значение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ширина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2 707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Площадь / объём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27,7 м² / 60,9 м³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G1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9.8. UNO MULTI 40 ft — Eanos</w:t>
      </w:r>
    </w:p>
    <w:p>
      <w:pPr>
        <w:pStyle w:val="Subtitle"/>
      </w:pPr>
      <w:r>
        <w:rPr>
          <w:rFonts w:ascii="Arial" w:hAnsi="Arial"/>
        </w:rPr>
        <w:t>Универсальный открытый вагон для навалочных и промышленных грузов.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Полувагон объёмом 73 м³ предназначен для металлолома, минеральных материалов, заполнителей и других навалочных грузов. Две полноразмерные боковые двери обеспечивают доступ по длине вагона и упрощают разгрузку и очистку.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Металлолом; заполнители; минеральные материалы; строительные материалы; навалочная промышленная продукция.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объём 73 м³</w:t>
      </w:r>
    </w:p>
    <w:p>
      <w:pPr>
        <w:pStyle w:val="ListBullet"/>
      </w:pPr>
      <w:r>
        <w:rPr>
          <w:rFonts w:ascii="Arial" w:hAnsi="Arial"/>
        </w:rPr>
        <w:t>пол толщиной 8 мм</w:t>
      </w:r>
    </w:p>
    <w:p>
      <w:pPr>
        <w:pStyle w:val="ListBullet"/>
      </w:pPr>
      <w:r>
        <w:rPr>
          <w:rFonts w:ascii="Arial" w:hAnsi="Arial"/>
        </w:rPr>
        <w:t>стенки толщиной 6 мм</w:t>
      </w:r>
    </w:p>
    <w:p>
      <w:pPr>
        <w:pStyle w:val="ListBullet"/>
      </w:pPr>
      <w:r>
        <w:rPr>
          <w:rFonts w:ascii="Arial" w:hAnsi="Arial"/>
        </w:rPr>
        <w:t>две полноразмерные двери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Eanos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8 068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13 608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21,0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12 336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ширина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2 711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Площадь / объём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33,2 м² / 73,0 м³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G1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9.9. UNO MULTI 56 ft — Eanos</w:t>
      </w:r>
    </w:p>
    <w:p>
      <w:pPr>
        <w:pStyle w:val="Subtitle"/>
      </w:pPr>
      <w:r>
        <w:rPr>
          <w:rFonts w:ascii="Arial" w:hAnsi="Arial"/>
        </w:rPr>
        <w:t>Увеличенный объём для перевозки большего количества навалочного груза.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Модель объёмом 100 м³ создана для перевозки больших партий металлолома, минеральных и строительных материалов. Увеличенная длина и две полноразмерные боковые двери поддерживают эффективную погрузку, выгрузку и очистку в интенсивных промышленных операциях.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Металлолом; заполнители; минеральные материалы; строительные материалы; другие навалочные промышленные грузы.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объём 100 м³</w:t>
      </w:r>
    </w:p>
    <w:p>
      <w:pPr>
        <w:pStyle w:val="ListBullet"/>
      </w:pPr>
      <w:r>
        <w:rPr>
          <w:rFonts w:ascii="Arial" w:hAnsi="Arial"/>
        </w:rPr>
        <w:t>пол и торцевые стенки 6 мм</w:t>
      </w:r>
    </w:p>
    <w:p>
      <w:pPr>
        <w:pStyle w:val="ListBullet"/>
      </w:pPr>
      <w:r>
        <w:rPr>
          <w:rFonts w:ascii="Arial" w:hAnsi="Arial"/>
        </w:rPr>
        <w:t>боковые стенки 4 мм</w:t>
      </w:r>
    </w:p>
    <w:p>
      <w:pPr>
        <w:pStyle w:val="ListBullet"/>
      </w:pPr>
      <w:r>
        <w:rPr>
          <w:rFonts w:ascii="Arial" w:hAnsi="Arial"/>
        </w:rPr>
        <w:t>две полноразмерные двери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Eanos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12 462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18 002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23,3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длина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16 726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Погрузочная ширина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2 715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Площадь / объём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45,4 м² / 100,0 м³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G1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9.10. UNO TANK 88 m³ — Zacns</w:t>
      </w:r>
    </w:p>
    <w:p>
      <w:pPr>
        <w:pStyle w:val="Subtitle"/>
      </w:pPr>
      <w:r>
        <w:rPr>
          <w:rFonts w:ascii="Arial" w:hAnsi="Arial"/>
        </w:rPr>
        <w:t>Цистерна большой вместимости для безопасной перевозки жидких грузов.</w:t>
      </w:r>
    </w:p>
    <w:p>
      <w:pPr>
        <w:pStyle w:val="Heading2"/>
        <w:keepNext/>
      </w:pPr>
      <w:r>
        <w:rPr>
          <w:rFonts w:ascii="Arial" w:hAnsi="Arial"/>
        </w:rPr>
        <w:t>Описание для сайта</w:t>
      </w:r>
    </w:p>
    <w:p>
      <w:r>
        <w:rPr>
          <w:rFonts w:ascii="Arial" w:hAnsi="Arial"/>
        </w:rPr>
        <w:t>Цистерна вместимостью 88 м³ предназначена для перевозки нефтепродуктов, нефтехимической продукции, спиртов и других разрешённых жидких грузов. Конструкция с кодом котла L4BH разрабатывается с учётом применимых требований RID, TSI, GCU, EN и UIC.</w:t>
      </w:r>
    </w:p>
    <w:p>
      <w:pPr>
        <w:pStyle w:val="Heading2"/>
        <w:keepNext/>
      </w:pPr>
      <w:r>
        <w:rPr>
          <w:rFonts w:ascii="Arial" w:hAnsi="Arial"/>
        </w:rPr>
        <w:t>Типичные грузы</w:t>
      </w:r>
    </w:p>
    <w:p>
      <w:r>
        <w:rPr>
          <w:rFonts w:ascii="Arial" w:hAnsi="Arial"/>
        </w:rPr>
        <w:t>Дизельное топливо; бензин; этанол; метанол; ароматические углеводороды; разрешённая нефтехимическая продукция. Полный список веществ следует показывать вместе с UN-номерами в техническом блоке.</w:t>
      </w:r>
    </w:p>
    <w:p>
      <w:pPr>
        <w:pStyle w:val="Heading2"/>
        <w:keepNext/>
      </w:pPr>
      <w:r>
        <w:rPr>
          <w:rFonts w:ascii="Arial" w:hAnsi="Arial"/>
        </w:rPr>
        <w:t>Ключевые особенности</w:t>
      </w:r>
    </w:p>
    <w:p>
      <w:pPr>
        <w:pStyle w:val="ListBullet"/>
      </w:pPr>
      <w:r>
        <w:rPr>
          <w:rFonts w:ascii="Arial" w:hAnsi="Arial"/>
        </w:rPr>
        <w:t>вместимость 88 м³</w:t>
      </w:r>
    </w:p>
    <w:p>
      <w:pPr>
        <w:pStyle w:val="ListBullet"/>
      </w:pPr>
      <w:r>
        <w:rPr>
          <w:rFonts w:ascii="Arial" w:hAnsi="Arial"/>
        </w:rPr>
        <w:t>код котла L4BH</w:t>
      </w:r>
    </w:p>
    <w:p>
      <w:pPr>
        <w:pStyle w:val="ListBullet"/>
      </w:pPr>
      <w:r>
        <w:rPr>
          <w:rFonts w:ascii="Arial" w:hAnsi="Arial"/>
        </w:rPr>
        <w:t>диаметр котла 3 000 мм</w:t>
      </w:r>
    </w:p>
    <w:p>
      <w:pPr>
        <w:pStyle w:val="ListBullet"/>
      </w:pPr>
      <w:r>
        <w:rPr>
          <w:rFonts w:ascii="Arial" w:hAnsi="Arial"/>
        </w:rPr>
        <w:t>соответствие применимым отраслевым требованиям</w:t>
      </w:r>
    </w:p>
    <w:p>
      <w:pPr>
        <w:pStyle w:val="Heading2"/>
        <w:keepNext/>
      </w:pPr>
      <w:r>
        <w:rPr>
          <w:rFonts w:ascii="Arial" w:hAnsi="Arial"/>
        </w:rPr>
        <w:t>Основные данные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3888"/>
        <w:gridCol w:w="5472"/>
      </w:tblGrid>
      <w:tr>
        <w:trPr>
          <w:tblHeader w:val="true"/>
        </w:trPr>
        <w:tc>
          <w:tcPr>
            <w:tcW w:type="dxa" w:w="388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Параметр</w:t>
            </w:r>
          </w:p>
        </w:tc>
        <w:tc>
          <w:tcPr>
            <w:tcW w:type="dxa" w:w="5472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Значение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Тип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Zacns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Шкворневая база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9 960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Длина по буферам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15 000 мм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Масса тары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21,0 т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Объём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88,0 м³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Диаметр котла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3 000 мм</w:t>
            </w:r>
          </w:p>
        </w:tc>
      </w:tr>
      <w:tr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Габарит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G1</w:t>
            </w:r>
          </w:p>
        </w:tc>
      </w:tr>
      <w:tr>
        <w:tc>
          <w:tcPr>
            <w:tcW w:type="dxa" w:w="388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Скорость</w:t>
            </w:r>
          </w:p>
        </w:tc>
        <w:tc>
          <w:tcPr>
            <w:tcW w:type="dxa" w:w="5472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100 км/ч по тормозу; конструкционная 120 км/ч</w:t>
            </w:r>
          </w:p>
        </w:tc>
      </w:tr>
    </w:tbl>
    <w:p>
      <w:pPr>
        <w:spacing w:after="0"/>
      </w:pPr>
    </w:p>
    <w:p>
      <w:r>
        <w:rPr>
          <w:rFonts w:ascii="Arial" w:hAnsi="Arial"/>
          <w:b/>
          <w:i w:val="0"/>
          <w:color w:val="D7194A"/>
          <w:sz w:val="18"/>
        </w:rPr>
        <w:t xml:space="preserve">Примечание: </w:t>
      </w:r>
      <w:r>
        <w:rPr>
          <w:rFonts w:ascii="Arial" w:hAnsi="Arial"/>
          <w:b w:val="0"/>
          <w:i w:val="0"/>
          <w:color w:val="606A70"/>
          <w:sz w:val="18"/>
        </w:rPr>
        <w:t>сосредоточенные нагрузки, классы линий, полные схемы загрузки и чертежи должны быть перенесены отдельными техническими блоками после окончательной проверки исходных таблиц.</w:t>
      </w:r>
    </w:p>
    <w:p>
      <w:pPr>
        <w:pStyle w:val="Title"/>
        <w:pageBreakBefore/>
      </w:pPr>
      <w:r>
        <w:rPr>
          <w:rFonts w:ascii="Arial" w:hAnsi="Arial"/>
        </w:rPr>
        <w:t>10. Контроль технических данных</w:t>
      </w:r>
    </w:p>
    <w:p>
      <w:pPr>
        <w:pStyle w:val="Heading2"/>
        <w:keepNext/>
      </w:pPr>
      <w:r>
        <w:rPr>
          <w:rFonts w:ascii="Arial" w:hAnsi="Arial"/>
        </w:rPr>
        <w:t>Исправления, предоставленные Сергеем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2736"/>
        <w:gridCol w:w="3384"/>
        <w:gridCol w:w="3240"/>
      </w:tblGrid>
      <w:tr>
        <w:trPr>
          <w:tblHeader w:val="true"/>
        </w:trPr>
        <w:tc>
          <w:tcPr>
            <w:tcW w:type="dxa" w:w="2736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Модель</w:t>
            </w:r>
          </w:p>
        </w:tc>
        <w:tc>
          <w:tcPr>
            <w:tcW w:type="dxa" w:w="3384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Ошибка</w:t>
            </w:r>
          </w:p>
        </w:tc>
        <w:tc>
          <w:tcPr>
            <w:tcW w:type="dxa" w:w="324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Правильное значение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UNO INTERMODAL 60 ft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Длина по буферам 19 830 мм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19 740 мм для A-буферов</w:t>
            </w:r>
          </w:p>
        </w:tc>
      </w:tr>
      <w:tr>
        <w:tc>
          <w:tcPr>
            <w:tcW w:type="dxa" w:w="2736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UNO MULTIBox 33 ft</w:t>
            </w:r>
          </w:p>
        </w:tc>
        <w:tc>
          <w:tcPr>
            <w:tcW w:type="dxa" w:w="338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Шкворневая база 6 480 мм</w:t>
            </w:r>
          </w:p>
        </w:tc>
        <w:tc>
          <w:tcPr>
            <w:tcW w:type="dxa" w:w="324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6 500 мм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UNO MULTIBox 33 ft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Погрузочная длина 10 200 мм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10 240 мм</w:t>
            </w:r>
          </w:p>
        </w:tc>
      </w:tr>
      <w:tr>
        <w:tc>
          <w:tcPr>
            <w:tcW w:type="dxa" w:w="2736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UNO MULTIBox 33 ft</w:t>
            </w:r>
          </w:p>
        </w:tc>
        <w:tc>
          <w:tcPr>
            <w:tcW w:type="dxa" w:w="338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Две точки, строка 10 м</w:t>
            </w:r>
          </w:p>
        </w:tc>
        <w:tc>
          <w:tcPr>
            <w:tcW w:type="dxa" w:w="324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Знак «–»</w:t>
            </w:r>
          </w:p>
        </w:tc>
      </w:tr>
      <w:tr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UNO MULTI 56 ft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Последняя строка обозначена b–b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Обозначение d–d</w:t>
            </w:r>
          </w:p>
        </w:tc>
      </w:tr>
      <w:tr>
        <w:tc>
          <w:tcPr>
            <w:tcW w:type="dxa" w:w="2736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UNO MULTI 56 ft</w:t>
            </w:r>
          </w:p>
        </w:tc>
        <w:tc>
          <w:tcPr>
            <w:tcW w:type="dxa" w:w="338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Две точки, строка 16 м</w:t>
            </w:r>
          </w:p>
        </w:tc>
        <w:tc>
          <w:tcPr>
            <w:tcW w:type="dxa" w:w="324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Знак «–»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Дополнительно обнаружено при проверке каталога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color="FFF0F2"/>
          <w:left w:val="single" w:sz="0" w:color="FFF0F2"/>
          <w:bottom w:val="single" w:sz="0" w:color="FFF0F2"/>
          <w:right w:val="single" w:sz="0" w:color="FFF0F2"/>
          <w:insideH w:val="single" w:sz="0" w:color="FFF0F2"/>
          <w:insideV w:val="single" w:sz="0" w:color="FFF0F2"/>
        </w:tblBorders>
      </w:tblPr>
      <w:tblGrid>
        <w:gridCol w:w="9360"/>
      </w:tblGrid>
      <w:tr>
        <w:tc>
          <w:tcPr>
            <w:tcW w:type="dxa" w:w="9360"/>
            <w:shd w:fill="FFF0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r>
              <w:rPr>
                <w:rFonts w:ascii="Arial" w:hAnsi="Arial"/>
                <w:b/>
                <w:i w:val="0"/>
                <w:color w:val="D7194A"/>
                <w:sz w:val="18"/>
              </w:rPr>
              <w:t>КРИТИЧЕСКАЯ ОШИБКА</w:t>
            </w:r>
          </w:p>
          <w:p>
            <w:r>
              <w:rPr>
                <w:rFonts w:ascii="Arial" w:hAnsi="Arial"/>
                <w:b/>
                <w:i w:val="0"/>
                <w:color w:val="15364A"/>
                <w:sz w:val="22"/>
              </w:rPr>
              <w:t>На технической странице UNO MULTIBox 33 ft в блок Special features ошибочно перенесены характеристики лесовоза: древесина 3/4/5 м, 10 пар стоек, 7 дефлекторов и габарит G2. Эти сведения к MULTIBox 33 ft не относятся.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Arial" w:hAnsi="Arial"/>
        </w:rPr>
        <w:t>В каталоге местами видны наложенные друг на друга строки. Для сайта данные следует вносить из проверенной таблицы, а не копировать изображение страницы целиком.</w:t>
      </w:r>
    </w:p>
    <w:p>
      <w:pPr>
        <w:pStyle w:val="ListBullet"/>
      </w:pPr>
      <w:r>
        <w:rPr>
          <w:rFonts w:ascii="Arial" w:hAnsi="Arial"/>
        </w:rPr>
        <w:t>Формулировку «DAC ready» подтвердить для каждой модели до публикации.</w:t>
      </w:r>
    </w:p>
    <w:p>
      <w:pPr>
        <w:pStyle w:val="ListBullet"/>
      </w:pPr>
      <w:r>
        <w:rPr>
          <w:rFonts w:ascii="Arial" w:hAnsi="Arial"/>
        </w:rPr>
        <w:t>Проверить термин «permitted maximum speed brake-related» и одинаково перевести его на всех языках.</w:t>
      </w:r>
    </w:p>
    <w:p>
      <w:pPr>
        <w:pStyle w:val="ListBullet"/>
      </w:pPr>
      <w:r>
        <w:rPr>
          <w:rFonts w:ascii="Arial" w:hAnsi="Arial"/>
        </w:rPr>
        <w:t>Привести единицы к единому виду: пробел между числом и единицей, м³ вместо m3, запятая в десятичных значениях европейской версии.</w:t>
      </w:r>
    </w:p>
    <w:p>
      <w:pPr>
        <w:pStyle w:val="ListBullet"/>
      </w:pPr>
      <w:r>
        <w:rPr>
          <w:rFonts w:ascii="Arial" w:hAnsi="Arial"/>
        </w:rPr>
        <w:t>На странице INTERMODAL заменить неточный термин floor height above basis на согласованный технический термин.</w:t>
      </w:r>
    </w:p>
    <w:p>
      <w:pPr>
        <w:pStyle w:val="ListBullet"/>
      </w:pPr>
      <w:r>
        <w:rPr>
          <w:rFonts w:ascii="Arial" w:hAnsi="Arial"/>
        </w:rPr>
        <w:t>Проверить подпись Classic brake for SS-bake regime: вероятна опечатка в слове brake.</w:t>
      </w:r>
    </w:p>
    <w:p>
      <w:pPr>
        <w:pStyle w:val="Title"/>
        <w:pageBreakBefore/>
      </w:pPr>
      <w:r>
        <w:rPr>
          <w:rFonts w:ascii="Arial" w:hAnsi="Arial"/>
        </w:rPr>
        <w:t>11. Изображения, сертификаты и контакты</w:t>
      </w:r>
    </w:p>
    <w:p>
      <w:pPr>
        <w:pStyle w:val="Heading2"/>
        <w:keepNext/>
      </w:pPr>
      <w:r>
        <w:rPr>
          <w:rFonts w:ascii="Arial" w:hAnsi="Arial"/>
        </w:rPr>
        <w:t>Изображения</w:t>
      </w:r>
    </w:p>
    <w:p>
      <w:pPr>
        <w:pStyle w:val="ListBullet"/>
      </w:pPr>
      <w:r>
        <w:rPr>
          <w:rFonts w:ascii="Arial" w:hAnsi="Arial"/>
        </w:rPr>
        <w:t>На главной использовать собственные фотографии или визуализации вагонов TransAnt, а не изображение, где основной объект — локомотив.</w:t>
      </w:r>
    </w:p>
    <w:p>
      <w:pPr>
        <w:pStyle w:val="ListBullet"/>
      </w:pPr>
      <w:r>
        <w:rPr>
          <w:rFonts w:ascii="Arial" w:hAnsi="Arial"/>
        </w:rPr>
        <w:t>Для UNO TIMBER использовать полное изображение вагона с обеими торцевыми стенками.</w:t>
      </w:r>
    </w:p>
    <w:p>
      <w:pPr>
        <w:pStyle w:val="ListBullet"/>
      </w:pPr>
      <w:r>
        <w:rPr>
          <w:rFonts w:ascii="Arial" w:hAnsi="Arial"/>
        </w:rPr>
        <w:t>Для каждой модели сохранить единый ракурс и масштаб рендера.</w:t>
      </w:r>
    </w:p>
    <w:p>
      <w:pPr>
        <w:pStyle w:val="ListBullet"/>
      </w:pPr>
      <w:r>
        <w:rPr>
          <w:rFonts w:ascii="Arial" w:hAnsi="Arial"/>
        </w:rPr>
        <w:t>Чертежи открывать в увеличенном размере; для скачивания давать понятное имя файла.</w:t>
      </w:r>
    </w:p>
    <w:p>
      <w:pPr>
        <w:pStyle w:val="ListBullet"/>
      </w:pPr>
      <w:r>
        <w:rPr>
          <w:rFonts w:ascii="Arial" w:hAnsi="Arial"/>
        </w:rPr>
        <w:t>Не использовать материалы стороннего одностраничного макета.</w:t>
      </w:r>
    </w:p>
    <w:p>
      <w:pPr>
        <w:pStyle w:val="Heading2"/>
        <w:keepNext/>
      </w:pPr>
      <w:r>
        <w:rPr>
          <w:rFonts w:ascii="Arial" w:hAnsi="Arial"/>
        </w:rPr>
        <w:t>Сертификаты</w:t>
      </w:r>
    </w:p>
    <w:p>
      <w:r>
        <w:rPr>
          <w:rFonts w:ascii="Arial" w:hAnsi="Arial"/>
        </w:rPr>
        <w:t>Под заголовком Quality standards and certificates разместить уменьшенные изображения ISO 9001:2015 и EN 15085-2. По нажатию открывается полный PDF. Рядом указывается номер, организация, выдавшая сертификат, и краткая область действия.</w:t>
      </w:r>
    </w:p>
    <w:p>
      <w:pPr>
        <w:pStyle w:val="Heading2"/>
        <w:keepNext/>
      </w:pPr>
      <w:r>
        <w:rPr>
          <w:rFonts w:ascii="Arial" w:hAnsi="Arial"/>
        </w:rPr>
        <w:t>Контакты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2880"/>
        <w:gridCol w:w="6480"/>
      </w:tblGrid>
      <w:tr>
        <w:trPr>
          <w:tblHeader w:val="true"/>
        </w:trPr>
        <w:tc>
          <w:tcPr>
            <w:tcW w:type="dxa" w:w="288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Поле</w:t>
            </w:r>
          </w:p>
        </w:tc>
        <w:tc>
          <w:tcPr>
            <w:tcW w:type="dxa" w:w="6480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Данные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Компания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TransAnt GmbH</w:t>
            </w:r>
          </w:p>
        </w:tc>
      </w:tr>
      <w:tr>
        <w:tc>
          <w:tcPr>
            <w:tcW w:type="dxa" w:w="28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Адрес</w:t>
            </w:r>
          </w:p>
        </w:tc>
        <w:tc>
          <w:tcPr>
            <w:tcW w:type="dxa" w:w="64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voestalpine-Straße 3, 4020 Linz, Austria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Общая почта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office@transant.com</w:t>
            </w:r>
          </w:p>
        </w:tc>
      </w:tr>
      <w:tr>
        <w:tc>
          <w:tcPr>
            <w:tcW w:type="dxa" w:w="28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Телефон</w:t>
            </w:r>
          </w:p>
        </w:tc>
        <w:tc>
          <w:tcPr>
            <w:tcW w:type="dxa" w:w="64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+43 664 88324966</w:t>
            </w:r>
          </w:p>
        </w:tc>
      </w:tr>
      <w:tr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Firmenbuchnummer</w:t>
            </w:r>
          </w:p>
        </w:tc>
        <w:tc>
          <w:tcPr>
            <w:tcW w:type="dxa" w:w="64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FN 544665 d</w:t>
            </w:r>
          </w:p>
        </w:tc>
      </w:tr>
      <w:tr>
        <w:tc>
          <w:tcPr>
            <w:tcW w:type="dxa" w:w="28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UID</w:t>
            </w:r>
          </w:p>
        </w:tc>
        <w:tc>
          <w:tcPr>
            <w:tcW w:type="dxa" w:w="6480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ATU76434529</w:t>
            </w:r>
          </w:p>
        </w:tc>
      </w:tr>
    </w:tbl>
    <w:p>
      <w:pPr>
        <w:spacing w:after="0"/>
      </w:pPr>
    </w:p>
    <w:p>
      <w:r>
        <w:rPr>
          <w:rFonts w:ascii="Arial" w:hAnsi="Arial"/>
        </w:rPr>
        <w:t>Форму обращения настроить так, чтобы она передавала название выбранной модели. Перед отправкой пользователь подтверждает ознакомление с Privacy information.</w:t>
      </w:r>
    </w:p>
    <w:p>
      <w:pPr>
        <w:pStyle w:val="Title"/>
        <w:pageBreakBefore/>
      </w:pPr>
      <w:r>
        <w:rPr>
          <w:rFonts w:ascii="Arial" w:hAnsi="Arial"/>
        </w:rPr>
        <w:t>12. Задание сыну: последовательность изменений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9E1E5"/>
          <w:left w:val="single" w:sz="6" w:color="D9E1E5"/>
          <w:bottom w:val="single" w:sz="6" w:color="D9E1E5"/>
          <w:right w:val="single" w:sz="6" w:color="D9E1E5"/>
          <w:insideH w:val="single" w:sz="6" w:color="D9E1E5"/>
          <w:insideV w:val="single" w:sz="6" w:color="D9E1E5"/>
        </w:tblBorders>
      </w:tblPr>
      <w:tblGrid>
        <w:gridCol w:w="648"/>
        <w:gridCol w:w="1944"/>
        <w:gridCol w:w="6768"/>
      </w:tblGrid>
      <w:tr>
        <w:trPr>
          <w:tblHeader w:val="true"/>
        </w:trPr>
        <w:tc>
          <w:tcPr>
            <w:tcW w:type="dxa" w:w="64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№</w:t>
            </w:r>
          </w:p>
        </w:tc>
        <w:tc>
          <w:tcPr>
            <w:tcW w:type="dxa" w:w="1944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Раздел</w:t>
            </w:r>
          </w:p>
        </w:tc>
        <w:tc>
          <w:tcPr>
            <w:tcW w:type="dxa" w:w="6768"/>
            <w:shd w:fill="1536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9"/>
              </w:rPr>
              <w:t>Изменение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Навигация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Добавить Home; закрепить шапку; сделать Wagons раскрывающимся; добавить InnoTrans 2026.</w:t>
            </w:r>
          </w:p>
        </w:tc>
      </w:tr>
      <w:tr>
        <w:tc>
          <w:tcPr>
            <w:tcW w:type="dxa" w:w="64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2</w:t>
            </w:r>
          </w:p>
        </w:tc>
        <w:tc>
          <w:tcPr>
            <w:tcW w:type="dxa" w:w="194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Главная</w:t>
            </w:r>
          </w:p>
        </w:tc>
        <w:tc>
          <w:tcPr>
            <w:tcW w:type="dxa" w:w="676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Заменить hero-фото; увеличить логотип; показать все семейства горизонтально; сократить повторяющиеся объяснения.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3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Company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Заменить каталоговое описание на полноценную информацию о TransAnt, команде и TAS Group.</w:t>
            </w:r>
          </w:p>
        </w:tc>
      </w:tr>
      <w:tr>
        <w:tc>
          <w:tcPr>
            <w:tcW w:type="dxa" w:w="64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4</w:t>
            </w:r>
          </w:p>
        </w:tc>
        <w:tc>
          <w:tcPr>
            <w:tcW w:type="dxa" w:w="194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Technology</w:t>
            </w:r>
          </w:p>
        </w:tc>
        <w:tc>
          <w:tcPr>
            <w:tcW w:type="dxa" w:w="676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Переименовать в Engineering &amp; Services и заменить содержание.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5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Вагоны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Добавить внутристранничное меню, блочную подачу, сравнение вариантов и downloads.</w:t>
            </w:r>
          </w:p>
        </w:tc>
      </w:tr>
      <w:tr>
        <w:tc>
          <w:tcPr>
            <w:tcW w:type="dxa" w:w="64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6</w:t>
            </w:r>
          </w:p>
        </w:tc>
        <w:tc>
          <w:tcPr>
            <w:tcW w:type="dxa" w:w="194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Данные</w:t>
            </w:r>
          </w:p>
        </w:tc>
        <w:tc>
          <w:tcPr>
            <w:tcW w:type="dxa" w:w="676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Внести исправления и удалить ошибочный блок лесовоза из MULTIBox 33 ft.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7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InnoTrans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Создать отдельную страницу с приглашением, экспонатами, партнёрами, картами и формой встречи.</w:t>
            </w:r>
          </w:p>
        </w:tc>
      </w:tr>
      <w:tr>
        <w:tc>
          <w:tcPr>
            <w:tcW w:type="dxa" w:w="64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8</w:t>
            </w:r>
          </w:p>
        </w:tc>
        <w:tc>
          <w:tcPr>
            <w:tcW w:type="dxa" w:w="194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Качество</w:t>
            </w:r>
          </w:p>
        </w:tc>
        <w:tc>
          <w:tcPr>
            <w:tcW w:type="dxa" w:w="676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Добавить изображения сертификатов и открытие PDF.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9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PRO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Создать страницу реализованного проекта и доступного облегчённого решения.</w:t>
            </w:r>
          </w:p>
        </w:tc>
      </w:tr>
      <w:tr>
        <w:tc>
          <w:tcPr>
            <w:tcW w:type="dxa" w:w="64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10</w:t>
            </w:r>
          </w:p>
        </w:tc>
        <w:tc>
          <w:tcPr>
            <w:tcW w:type="dxa" w:w="1944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Пять языков</w:t>
            </w:r>
          </w:p>
        </w:tc>
        <w:tc>
          <w:tcPr>
            <w:tcW w:type="dxa" w:w="6768"/>
            <w:shd w:fill="F7F9F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После утверждения английской версии синхронно обновить DE / UA / PL / CZ.</w:t>
            </w:r>
          </w:p>
        </w:tc>
      </w:tr>
      <w:tr>
        <w:tc>
          <w:tcPr>
            <w:tcW w:type="dxa" w:w="6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172126"/>
                <w:sz w:val="19"/>
              </w:rPr>
              <w:t>11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Проверка</w:t>
            </w:r>
          </w:p>
        </w:tc>
        <w:tc>
          <w:tcPr>
            <w:tcW w:type="dxa" w:w="67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6"/>
                <w:sz w:val="19"/>
              </w:rPr>
              <w:t>Протестировать компьютер, планшет и телефон; формы, ссылки, меню, скачивания и скорость.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</w:rPr>
        <w:t>Следующий рабочий этап</w:t>
      </w:r>
    </w:p>
    <w:p>
      <w:pPr>
        <w:pStyle w:val="ListNumber"/>
      </w:pPr>
      <w:r>
        <w:rPr>
          <w:rFonts w:ascii="Arial" w:hAnsi="Arial"/>
        </w:rPr>
        <w:t>Сергей согласовывает русскую структуру и формулировки.</w:t>
      </w:r>
    </w:p>
    <w:p>
      <w:pPr>
        <w:pStyle w:val="ListNumber"/>
      </w:pPr>
      <w:r>
        <w:rPr>
          <w:rFonts w:ascii="Arial" w:hAnsi="Arial"/>
        </w:rPr>
        <w:t>Уточняется окончательный перечень экспонатов и партнёров InnoTrans.</w:t>
      </w:r>
    </w:p>
    <w:p>
      <w:pPr>
        <w:pStyle w:val="ListNumber"/>
      </w:pPr>
      <w:r>
        <w:rPr>
          <w:rFonts w:ascii="Arial" w:hAnsi="Arial"/>
        </w:rPr>
        <w:t>Готовится английский текст — основная версия сайта.</w:t>
      </w:r>
    </w:p>
    <w:p>
      <w:pPr>
        <w:pStyle w:val="ListNumber"/>
      </w:pPr>
      <w:r>
        <w:rPr>
          <w:rFonts w:ascii="Arial" w:hAnsi="Arial"/>
        </w:rPr>
        <w:t>Сын переносит изменения в локальный проект сайта.</w:t>
      </w:r>
    </w:p>
    <w:p>
      <w:pPr>
        <w:pStyle w:val="ListNumber"/>
      </w:pPr>
      <w:r>
        <w:rPr>
          <w:rFonts w:ascii="Arial" w:hAnsi="Arial"/>
        </w:rPr>
        <w:t>Проводится визуальная и техническая проверка всех страниц.</w:t>
      </w:r>
    </w:p>
    <w:p>
      <w:pPr>
        <w:pStyle w:val="ListNumber"/>
      </w:pPr>
      <w:r>
        <w:rPr>
          <w:rFonts w:ascii="Arial" w:hAnsi="Arial"/>
        </w:rPr>
        <w:t>После утверждения выполняются остальные четыре перевода.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606A70"/>
        <w:sz w:val="17"/>
      </w:rPr>
      <w:t xml:space="preserve">Рабочая русская версия  •  </w:t>
    </w:r>
    <w:r>
      <w:rPr>
        <w:rFonts w:ascii="Arial" w:hAnsi="Arial"/>
        <w:b w:val="0"/>
        <w:i w:val="0"/>
        <w:color w:val="606A7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i w:val="0"/>
        <w:color w:val="606A70"/>
        <w:sz w:val="17"/>
      </w:rPr>
      <w:t>TRANSANT  |  КОНЦЕПЦИЯ НОВОГО САЙТА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721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536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74D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D719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36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rial" w:hAnsi="Arial"/>
      <w:b w:val="0"/>
      <w:i/>
      <w:iCs/>
      <w:color w:val="606A7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7" w:hanging="274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7" w:hanging="274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200" w:line="288" w:lineRule="auto"/>
    </w:pPr>
    <w:rPr>
      <w:rFonts w:ascii="Arial" w:hAnsi="Arial"/>
      <w:color w:val="274D6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Новый сайт TransAnt — структура, содержание и техническое задание</dc:title>
  <dc:subject>Рабочая русская версия</dc:subject>
  <dc:creator>TransAnt GmbH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