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2A" w:rsidRDefault="003144CA" w:rsidP="003144CA">
      <w:pPr>
        <w:pStyle w:val="IntenseQuote"/>
        <w:jc w:val="center"/>
        <w:rPr>
          <w:lang w:val="en-US"/>
        </w:rPr>
      </w:pPr>
      <w:r>
        <w:rPr>
          <w:lang w:val="en-US"/>
        </w:rPr>
        <w:t>JDBC</w:t>
      </w:r>
    </w:p>
    <w:p w:rsidR="00174786" w:rsidRDefault="00174786" w:rsidP="00174786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944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86" w:rsidRDefault="00174786" w:rsidP="00174786">
      <w:pPr>
        <w:pStyle w:val="ListParagraph"/>
        <w:rPr>
          <w:lang w:val="en-US"/>
        </w:rPr>
      </w:pP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API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defines multiple interfaces, which are implemented by the database</w:t>
      </w: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vendor or a third party that your Java application is connecting with. The implementation</w:t>
      </w: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of these interfaces is bundled in a driver and made available to the Java application.</w:t>
      </w:r>
    </w:p>
    <w:p w:rsidR="00174786" w:rsidRDefault="00174786" w:rsidP="00174786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calls from your Java applications are converted to database calls by a driver.</w:t>
      </w:r>
    </w:p>
    <w:p w:rsidR="00174786" w:rsidRDefault="00174786" w:rsidP="00174786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174786" w:rsidRDefault="00174786" w:rsidP="00174786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38305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86" w:rsidRDefault="00174786" w:rsidP="00174786">
      <w:pPr>
        <w:pStyle w:val="ListParagraph"/>
        <w:rPr>
          <w:lang w:val="en-US"/>
        </w:rPr>
      </w:pPr>
    </w:p>
    <w:p w:rsidR="00174786" w:rsidRDefault="00174786" w:rsidP="00174786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java.sql.Driver</w:t>
      </w:r>
      <w:proofErr w:type="spellEnd"/>
    </w:p>
    <w:p w:rsidR="00174786" w:rsidRDefault="00174786" w:rsidP="00174786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When a database vendor</w:t>
      </w: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or third party develops a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driver, it must implement this interface. When a class</w:t>
      </w: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implementing this interface is loaded into memory, it must create an instance of itself</w:t>
      </w:r>
    </w:p>
    <w:p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and register itself with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. It does this by defining a static </w:t>
      </w:r>
      <w:proofErr w:type="spellStart"/>
      <w:r>
        <w:rPr>
          <w:rFonts w:ascii="NewBaskerville-Roman" w:hAnsi="NewBaskerville-Roman" w:cs="NewBaskerville-Roman"/>
          <w:sz w:val="20"/>
          <w:szCs w:val="20"/>
          <w:lang w:val="en-US"/>
        </w:rPr>
        <w:t>initializer</w:t>
      </w:r>
      <w:proofErr w:type="spellEnd"/>
    </w:p>
    <w:p w:rsidR="00174786" w:rsidRDefault="00174786" w:rsidP="00174786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lastRenderedPageBreak/>
        <w:t xml:space="preserve">block, which instantiates it and registers itself with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307D53" w:rsidRDefault="00307D53" w:rsidP="00174786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You can manually load and register a driver by calling method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forName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from</w:t>
      </w:r>
    </w:p>
    <w:p w:rsidR="00174786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java.lang.Class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307D53" w:rsidP="00307D53">
      <w:pPr>
        <w:pStyle w:val="ListParagraph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Class.forName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("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com.mysql.jdbc.Driver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");</w:t>
      </w:r>
    </w:p>
    <w:p w:rsidR="00307D53" w:rsidRDefault="00307D53" w:rsidP="00307D53">
      <w:pPr>
        <w:pStyle w:val="ListParagraph"/>
        <w:rPr>
          <w:rFonts w:ascii="Courier" w:hAnsi="Courier" w:cs="Courier"/>
          <w:sz w:val="16"/>
          <w:szCs w:val="16"/>
          <w:lang w:val="en-US"/>
        </w:rPr>
      </w:pPr>
    </w:p>
    <w:p w:rsidR="00307D53" w:rsidRDefault="00307D53" w:rsidP="00307D53">
      <w:pPr>
        <w:pStyle w:val="ListParagraph"/>
        <w:rPr>
          <w:rFonts w:ascii="Courier" w:hAnsi="Courier" w:cs="Courier"/>
          <w:sz w:val="16"/>
          <w:szCs w:val="16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Manual loading of the drivers was required until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version 3.0. Starting with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4.0 and later, Java applications can automatically load and register the drivers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using the Service Provider Mechanism (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SPM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), introduced with Java 6 and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4.0.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For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SPM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, the driver needs to include the configuration file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META-INF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/services/</w:t>
      </w:r>
      <w:proofErr w:type="spellStart"/>
      <w:r>
        <w:rPr>
          <w:rFonts w:ascii="NewBaskerville-Roman" w:hAnsi="NewBaskerville-Roman" w:cs="NewBaskerville-Roman"/>
          <w:sz w:val="20"/>
          <w:szCs w:val="20"/>
          <w:lang w:val="en-US"/>
        </w:rPr>
        <w:t>java.sql.Driver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in the .jar file. This file contains the name of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driver’s implementation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of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java.sql.Driver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307D53" w:rsidP="00307D53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java.sql.Connection</w:t>
      </w:r>
      <w:proofErr w:type="spellEnd"/>
    </w:p>
    <w:p w:rsidR="00307D53" w:rsidRDefault="00307D53" w:rsidP="00307D53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java.sql.Connection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represents a connection session with the specified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database.</w:t>
      </w:r>
    </w:p>
    <w:p w:rsidR="00307D53" w:rsidRDefault="00307D53" w:rsidP="00307D53">
      <w:pPr>
        <w:pStyle w:val="ListParagraph"/>
        <w:rPr>
          <w:lang w:val="en-US"/>
        </w:rPr>
      </w:pPr>
    </w:p>
    <w:p w:rsidR="003144CA" w:rsidRDefault="003144CA" w:rsidP="00314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Connection</w:t>
      </w:r>
      <w:proofErr w:type="spellEnd"/>
      <w:r>
        <w:rPr>
          <w:lang w:val="en-US"/>
        </w:rPr>
        <w:t xml:space="preserve">” – </w:t>
      </w:r>
      <w:r w:rsidR="00174786">
        <w:rPr>
          <w:lang w:val="en-US"/>
        </w:rPr>
        <w:t>object which is returned if succ</w:t>
      </w:r>
      <w:r>
        <w:rPr>
          <w:lang w:val="en-US"/>
        </w:rPr>
        <w:t>essfully connected to db</w:t>
      </w:r>
    </w:p>
    <w:p w:rsidR="00307D53" w:rsidRDefault="00307D53" w:rsidP="00307D53">
      <w:pPr>
        <w:pStyle w:val="ListParagraph"/>
        <w:rPr>
          <w:lang w:val="en-US"/>
        </w:rPr>
      </w:pPr>
    </w:p>
    <w:p w:rsidR="00307D53" w:rsidRDefault="00307D53" w:rsidP="00307D53">
      <w:pPr>
        <w:pStyle w:val="ListParagraph"/>
        <w:rPr>
          <w:lang w:val="en-US"/>
        </w:rPr>
      </w:pPr>
    </w:p>
    <w:p w:rsidR="00307D53" w:rsidRDefault="00307D53" w:rsidP="00307D53">
      <w:pPr>
        <w:pStyle w:val="ListParagraph"/>
        <w:rPr>
          <w:lang w:val="en-US"/>
        </w:rPr>
      </w:pPr>
    </w:p>
    <w:p w:rsidR="00307D53" w:rsidRDefault="00307D53" w:rsidP="00307D53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 xml:space="preserve">Interface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java.sql.Statement</w:t>
      </w:r>
      <w:proofErr w:type="spellEnd"/>
    </w:p>
    <w:p w:rsidR="00307D53" w:rsidRDefault="00307D53" w:rsidP="00307D53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java.sql.Statement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is used to create and execute static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statements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and retrieve their results.</w:t>
      </w:r>
    </w:p>
    <w:p w:rsidR="00307D53" w:rsidRDefault="00307D53" w:rsidP="00307D53">
      <w:pPr>
        <w:pStyle w:val="ListParagraph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interface </w:t>
      </w:r>
      <w:r>
        <w:rPr>
          <w:rFonts w:ascii="Courier" w:hAnsi="Courier" w:cs="Courier"/>
          <w:sz w:val="19"/>
          <w:szCs w:val="19"/>
          <w:lang w:val="en-US"/>
        </w:rPr>
        <w:t xml:space="preserve">Statement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is extended by interfaces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java.sql.PreparedStatement</w:t>
      </w:r>
      <w:proofErr w:type="spellEnd"/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java.sql.CallableStatement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. Objects of both of these </w:t>
      </w:r>
      <w:proofErr w:type="spellStart"/>
      <w:r>
        <w:rPr>
          <w:rFonts w:ascii="NewBaskerville-Roman" w:hAnsi="NewBaskerville-Roman" w:cs="NewBaskerville-Roman"/>
          <w:sz w:val="20"/>
          <w:szCs w:val="20"/>
          <w:lang w:val="en-US"/>
        </w:rPr>
        <w:t>subinterfaces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represent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precompiled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statements, which execute faster than their </w:t>
      </w:r>
      <w:proofErr w:type="spellStart"/>
      <w:r>
        <w:rPr>
          <w:rFonts w:ascii="NewBaskerville-Roman" w:hAnsi="NewBaskerville-Roman" w:cs="NewBaskerville-Roman"/>
          <w:sz w:val="20"/>
          <w:szCs w:val="20"/>
          <w:lang w:val="en-US"/>
        </w:rPr>
        <w:t>uncompiled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counterparts.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They can also be used to execute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statements with placeholders, using </w:t>
      </w:r>
      <w:r>
        <w:rPr>
          <w:rFonts w:ascii="Courier" w:hAnsi="Courier" w:cs="Courier"/>
          <w:sz w:val="19"/>
          <w:szCs w:val="19"/>
          <w:lang w:val="en-US"/>
        </w:rPr>
        <w:t>?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307D53" w:rsidRDefault="00307D53" w:rsidP="00307D53">
      <w:pPr>
        <w:pStyle w:val="ListParagraph"/>
        <w:rPr>
          <w:lang w:val="en-US"/>
        </w:rPr>
      </w:pPr>
      <w:proofErr w:type="spellStart"/>
      <w:r>
        <w:rPr>
          <w:rFonts w:ascii="Courier" w:hAnsi="Courier" w:cs="Courier"/>
          <w:sz w:val="19"/>
          <w:szCs w:val="19"/>
          <w:lang w:val="en-US"/>
        </w:rPr>
        <w:t>CallableStatement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are used to execute database-stored procedures.</w:t>
      </w:r>
    </w:p>
    <w:p w:rsidR="003144CA" w:rsidRDefault="003144CA" w:rsidP="00314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“Statement” object is created from Connection</w:t>
      </w:r>
    </w:p>
    <w:p w:rsidR="00307D53" w:rsidRDefault="00307D53" w:rsidP="00307D53">
      <w:pP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 xml:space="preserve">Interface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java.sql.ResultSet</w:t>
      </w:r>
      <w:proofErr w:type="spellEnd"/>
    </w:p>
    <w:p w:rsidR="00307D53" w:rsidRDefault="00307D53" w:rsidP="00307D53">
      <w:pP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java.sql.ResultSet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is retrieved as a result of executing a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SQL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SELECT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 against a database. It represents a table of data. The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object can be read-only, scrollable, or updatable. By default,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 is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only read-only and can be traversed in only one (forward) direction. You can create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 scrollable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(that can be traversed forward and backward) and/or an</w:t>
      </w:r>
    </w:p>
    <w:p w:rsidR="00307D53" w:rsidRDefault="00307D53" w:rsidP="00307D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updatable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by passing the relevant parameters during the creation of a</w:t>
      </w:r>
    </w:p>
    <w:p w:rsidR="00307D53" w:rsidRDefault="00307D53" w:rsidP="00307D5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Statement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object.</w:t>
      </w:r>
    </w:p>
    <w:p w:rsidR="00307D53" w:rsidRDefault="00307D53" w:rsidP="00307D53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307D53" w:rsidRDefault="00AB5016" w:rsidP="00307D5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lastRenderedPageBreak/>
        <w:t>All together</w:t>
      </w:r>
    </w:p>
    <w:p w:rsidR="00AB5016" w:rsidRDefault="00AB5016" w:rsidP="00307D53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java.sql.DriverManager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talks with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driver to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return a </w:t>
      </w:r>
      <w:r>
        <w:rPr>
          <w:rFonts w:ascii="Courier" w:hAnsi="Courier" w:cs="Courier"/>
          <w:sz w:val="19"/>
          <w:szCs w:val="19"/>
          <w:lang w:val="en-US"/>
        </w:rPr>
        <w:t xml:space="preserve">Connection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object, which can be used by your Java classes for all further communication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with the database.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JDBC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driver is a set of classes provided by the database vendor, or a third party,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usually in a .jar or .zip file, to support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JDBC API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. A </w:t>
      </w:r>
      <w:r>
        <w:rPr>
          <w:rFonts w:ascii="Courier" w:hAnsi="Courier" w:cs="Courier"/>
          <w:sz w:val="19"/>
          <w:szCs w:val="19"/>
          <w:lang w:val="en-US"/>
        </w:rPr>
        <w:t xml:space="preserve">Driver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class is an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implementation of 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java.sql.Driver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in a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driver.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To connect with a database, you need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only once. When a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JDBC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client needs to connect with a database, it connects with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>, which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finds an appropriate driver, establishes a connection with the database, and returns</w:t>
      </w:r>
    </w:p>
    <w:p w:rsidR="00307D53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</w:t>
      </w:r>
      <w:r>
        <w:rPr>
          <w:rFonts w:ascii="Courier" w:hAnsi="Courier" w:cs="Courier"/>
          <w:sz w:val="19"/>
          <w:szCs w:val="19"/>
          <w:lang w:val="en-US"/>
        </w:rPr>
        <w:t xml:space="preserve">Connection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object to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JDBC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client.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30428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16" w:rsidRDefault="00AB5016" w:rsidP="00AB5016">
      <w:pPr>
        <w:rPr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There are two ways to connect to a database: by using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java.sql.Driver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>-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Manager </w:t>
      </w:r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or 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javax.sql.DataSource</w:t>
      </w:r>
      <w:proofErr w:type="spellEnd"/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.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FranklinGothic-Book" w:hAnsi="FranklinGothic-Book" w:cs="FranklinGothic-Book"/>
          <w:sz w:val="19"/>
          <w:szCs w:val="19"/>
          <w:lang w:val="en-US"/>
        </w:rPr>
        <w:t>was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included in the JDBC API since its beginning and 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DataSource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FranklinGothic-Book" w:hAnsi="FranklinGothic-Book" w:cs="FranklinGothic-Book"/>
          <w:sz w:val="19"/>
          <w:szCs w:val="19"/>
          <w:lang w:val="en-US"/>
        </w:rPr>
        <w:t>was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added later in JDBC version 2.0.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FranklinGothic-Book" w:hAnsi="FranklinGothic-Book" w:cs="FranklinGothic-Book"/>
          <w:sz w:val="19"/>
          <w:szCs w:val="19"/>
          <w:lang w:val="en-US"/>
        </w:rPr>
        <w:t>is the preferred class to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 xml:space="preserve">establish database connections with Java SE applications because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DataSource</w:t>
      </w:r>
      <w:proofErr w:type="spellEnd"/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>works with the Java Naming and Directory Interface (JNDI). JNDI is usually supported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>by Java applications with a container that supports JNDI like Java Enterprise Edition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  <w:lang w:val="en-US"/>
        </w:rPr>
      </w:pPr>
      <w:r>
        <w:rPr>
          <w:rFonts w:ascii="FranklinGothic-Book" w:hAnsi="FranklinGothic-Book" w:cs="FranklinGothic-Book"/>
          <w:sz w:val="19"/>
          <w:szCs w:val="19"/>
          <w:lang w:val="en-US"/>
        </w:rPr>
        <w:t>Server. For the exam, you must only know how to establish a connection using a</w:t>
      </w:r>
    </w:p>
    <w:p w:rsidR="00AB5016" w:rsidRDefault="00AB5016" w:rsidP="00AB5016">
      <w:pPr>
        <w:rPr>
          <w:rFonts w:ascii="FranklinGothic-Book" w:hAnsi="FranklinGothic-Book" w:cs="FranklinGothic-Book"/>
          <w:sz w:val="19"/>
          <w:szCs w:val="19"/>
          <w:lang w:val="en-US"/>
        </w:rPr>
      </w:pPr>
      <w:proofErr w:type="spellStart"/>
      <w:r>
        <w:rPr>
          <w:rFonts w:ascii="Courier" w:hAnsi="Courier" w:cs="Courier"/>
          <w:sz w:val="19"/>
          <w:szCs w:val="19"/>
          <w:lang w:val="en-US"/>
        </w:rPr>
        <w:t>DriverManager</w:t>
      </w:r>
      <w:proofErr w:type="spellEnd"/>
      <w:r>
        <w:rPr>
          <w:rFonts w:ascii="FranklinGothic-Book" w:hAnsi="FranklinGothic-Book" w:cs="FranklinGothic-Book"/>
          <w:sz w:val="19"/>
          <w:szCs w:val="19"/>
          <w:lang w:val="en-US"/>
        </w:rPr>
        <w:t>.</w:t>
      </w:r>
    </w:p>
    <w:p w:rsidR="00AB5016" w:rsidRDefault="00AB5016" w:rsidP="00AB5016">
      <w:pPr>
        <w:rPr>
          <w:rFonts w:ascii="FranklinGothic-Book" w:hAnsi="FranklinGothic-Book" w:cs="FranklinGothic-Book"/>
          <w:sz w:val="19"/>
          <w:szCs w:val="19"/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Method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executeUpdate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is used to execute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queries to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insert new rows in a table, and update and delete existing rows. It’s also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used to execute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DDL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queries, such as the creation, modification, and deletion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of database objects like tables. If you use method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executeQuery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for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any of these operations, you’ll get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SQLException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at runtime.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lastRenderedPageBreak/>
        <w:t xml:space="preserve">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statements that you include in your code are defined as string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values. This essentially means that even if any of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statements are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invalid, the code compiles successfully. The Java application passes the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statements to the database, which determines whether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is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formed correctly or not. When a database receives an incorrect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statement,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it notifies the Java application with an appropriate exception and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message at runtime.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Because the interfaces </w:t>
      </w:r>
      <w:r>
        <w:rPr>
          <w:rFonts w:ascii="Courier" w:hAnsi="Courier" w:cs="Courier"/>
          <w:sz w:val="19"/>
          <w:szCs w:val="19"/>
          <w:lang w:val="en-US"/>
        </w:rPr>
        <w:t>Connection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sz w:val="19"/>
          <w:szCs w:val="19"/>
          <w:lang w:val="en-US"/>
        </w:rPr>
        <w:t>Statement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, and </w:t>
      </w:r>
      <w:r>
        <w:rPr>
          <w:rFonts w:ascii="Courier" w:hAnsi="Courier" w:cs="Courier"/>
          <w:sz w:val="19"/>
          <w:szCs w:val="19"/>
          <w:lang w:val="en-US"/>
        </w:rPr>
        <w:t>Result-</w:t>
      </w: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Set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extend 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AutoCloseable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>, you can create their instances in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 </w:t>
      </w:r>
      <w:r>
        <w:rPr>
          <w:rFonts w:ascii="Courier" w:hAnsi="Courier" w:cs="Courier"/>
          <w:sz w:val="19"/>
          <w:szCs w:val="19"/>
          <w:lang w:val="en-US"/>
        </w:rPr>
        <w:t>try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-with-resources statement.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Method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executeQuery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is used for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Courier" w:hAnsi="Courier" w:cs="Courier"/>
          <w:sz w:val="19"/>
          <w:szCs w:val="19"/>
          <w:lang w:val="en-US"/>
        </w:rPr>
        <w:t xml:space="preserve">SELECT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statements.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B5016" w:rsidRDefault="00AB5016" w:rsidP="00AB5016">
      <w:pPr>
        <w:rPr>
          <w:rFonts w:ascii="FranklinGothic-Book" w:hAnsi="FranklinGothic-Book" w:cs="FranklinGothic-Book"/>
          <w:sz w:val="19"/>
          <w:szCs w:val="19"/>
          <w:lang w:val="en-US"/>
        </w:rPr>
      </w:pPr>
    </w:p>
    <w:p w:rsidR="00AB5016" w:rsidRDefault="00AB5016" w:rsidP="00AB5016">
      <w:pPr>
        <w:rPr>
          <w:rFonts w:ascii="FranklinGothic-Book" w:hAnsi="FranklinGothic-Book" w:cs="FranklinGothic-Book"/>
          <w:sz w:val="19"/>
          <w:szCs w:val="19"/>
          <w:lang w:val="en-US"/>
        </w:rPr>
      </w:pPr>
    </w:p>
    <w:p w:rsidR="00AB5016" w:rsidRDefault="00AB5016" w:rsidP="00AB5016">
      <w:pPr>
        <w:rPr>
          <w:rFonts w:ascii="FranklinGothic-Book" w:hAnsi="FranklinGothic-Book" w:cs="FranklinGothic-Book"/>
          <w:sz w:val="19"/>
          <w:szCs w:val="19"/>
          <w:lang w:val="en-US"/>
        </w:rPr>
      </w:pPr>
    </w:p>
    <w:p w:rsidR="00AB5016" w:rsidRDefault="00AB5016" w:rsidP="00AB501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3333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16" w:rsidRDefault="00AB5016" w:rsidP="00AB5016">
      <w:pPr>
        <w:rPr>
          <w:lang w:val="en-US"/>
        </w:rPr>
      </w:pPr>
    </w:p>
    <w:p w:rsidR="00AB5016" w:rsidRDefault="00AB5016" w:rsidP="00AB50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cs="NewBaskerville-Roman"/>
          <w:sz w:val="20"/>
          <w:szCs w:val="20"/>
          <w:lang w:val="en-US"/>
        </w:rPr>
        <w:t>Y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ou need to call method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executeUpdate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on </w:t>
      </w:r>
      <w:r>
        <w:rPr>
          <w:rFonts w:ascii="Courier" w:hAnsi="Courier" w:cs="Courier"/>
          <w:sz w:val="19"/>
          <w:szCs w:val="19"/>
          <w:lang w:val="en-US"/>
        </w:rPr>
        <w:t xml:space="preserve">Statement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and not </w:t>
      </w:r>
      <w:r>
        <w:rPr>
          <w:rFonts w:ascii="Courier" w:hAnsi="Courier" w:cs="Courier"/>
          <w:sz w:val="19"/>
          <w:szCs w:val="19"/>
          <w:lang w:val="en-US"/>
        </w:rPr>
        <w:t>execute-</w:t>
      </w:r>
    </w:p>
    <w:p w:rsidR="00AB5016" w:rsidRDefault="00AB5016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Query()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to execute a Data Definition Language (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>DDL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) request.</w:t>
      </w:r>
    </w:p>
    <w:p w:rsidR="007D6FC4" w:rsidRDefault="007D6FC4" w:rsidP="00AB5016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7D6FC4" w:rsidRDefault="007D6FC4" w:rsidP="007D6F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If your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 doesn’t return any rows, the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</w:p>
    <w:p w:rsidR="007D6FC4" w:rsidRDefault="007D6FC4" w:rsidP="007D6F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object doesn’t point to a </w:t>
      </w:r>
      <w:r>
        <w:rPr>
          <w:rFonts w:ascii="Courier" w:hAnsi="Courier" w:cs="Courier"/>
          <w:sz w:val="19"/>
          <w:szCs w:val="19"/>
          <w:lang w:val="en-US"/>
        </w:rPr>
        <w:t xml:space="preserve">null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value. In this case, you’ll get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</w:p>
    <w:p w:rsidR="007D6FC4" w:rsidRDefault="007D6FC4" w:rsidP="007D6FC4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object that won’t include any rows.</w:t>
      </w:r>
    </w:p>
    <w:p w:rsidR="007D6FC4" w:rsidRDefault="00DA7F58" w:rsidP="007D6FC4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  <w:lang w:val="en-US"/>
        </w:rPr>
        <w:lastRenderedPageBreak/>
        <w:t>rowset</w:t>
      </w:r>
      <w:proofErr w:type="spellEnd"/>
    </w:p>
    <w:p w:rsidR="00DA7F58" w:rsidRDefault="00DA7F58" w:rsidP="007D6FC4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DA7F58" w:rsidRDefault="00DA7F58" w:rsidP="007D6FC4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 w:eastAsia="en-US"/>
        </w:rPr>
        <w:drawing>
          <wp:inline distT="0" distB="0" distL="0" distR="0">
            <wp:extent cx="5760720" cy="462407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FC4" w:rsidRDefault="00DA7F58" w:rsidP="007D6FC4">
      <w:pP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 xml:space="preserve">Interface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RowSetFactory</w:t>
      </w:r>
      <w:proofErr w:type="spellEnd"/>
    </w:p>
    <w:p w:rsidR="00DA7F58" w:rsidRDefault="00DA7F58" w:rsidP="007D6FC4">
      <w:pP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The interface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javax.sql.rowset.RowSetFactory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defines the implementation of a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factory that can be used to obtain different types of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implementations. Table 9.3</w:t>
      </w:r>
    </w:p>
    <w:p w:rsidR="00DA7F58" w:rsidRDefault="00DA7F58" w:rsidP="00DA7F58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lists its methods.</w:t>
      </w:r>
    </w:p>
    <w:p w:rsidR="00DA7F58" w:rsidRDefault="00DA7F58" w:rsidP="00DA7F58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 w:eastAsia="en-US"/>
        </w:rPr>
        <w:drawing>
          <wp:inline distT="0" distB="0" distL="0" distR="0">
            <wp:extent cx="5760720" cy="198955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8" w:rsidRDefault="00DA7F58" w:rsidP="00DA7F58">
      <w:pPr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To get access to an object of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RowSetFactory</w:t>
      </w:r>
      <w:proofErr w:type="spell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, you can use 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RowSetProvider</w:t>
      </w:r>
      <w:proofErr w:type="spellEnd"/>
    </w:p>
    <w:p w:rsidR="00DA7F58" w:rsidRDefault="00DA7F58" w:rsidP="00DA7F58">
      <w:pPr>
        <w:rPr>
          <w:rFonts w:ascii="Courier" w:hAnsi="Courier" w:cs="Courier"/>
          <w:sz w:val="19"/>
          <w:szCs w:val="19"/>
          <w:lang w:val="en-US"/>
        </w:rPr>
      </w:pPr>
    </w:p>
    <w:p w:rsidR="00DA7F58" w:rsidRDefault="00DA7F58" w:rsidP="00DA7F58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 xml:space="preserve">Class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  <w:lang w:val="en-US"/>
        </w:rPr>
        <w:t>RowSetProvider</w:t>
      </w:r>
      <w:proofErr w:type="spellEnd"/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Class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javax.sql.rowset.RowSetProvider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defines factory methods to get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>-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Factory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implementation. The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RowSetFactory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can then be used to create objects of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different types of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RowSet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implementations. Here’s how you can create an instance of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this default implementation and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JdbcRowSet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using it: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=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RowSetProvider.newFactory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();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JdbcRowSet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crs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=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rowsetFactory.createJdbcRowSet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();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You can also specify a custom factory implementation by specifying its name. 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static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newFactory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()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static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newFactory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(String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factoryClassName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ClassLoader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cl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)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For example</w:t>
      </w: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DA7F58" w:rsidRDefault="00DA7F58" w:rsidP="00DA7F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=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RowSetProvider.newFactory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</w:p>
    <w:p w:rsidR="00DA7F58" w:rsidRDefault="00DA7F58" w:rsidP="00DA7F58">
      <w:pPr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"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com.ejava.sql.rowset.CustomRowSetFactory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", null);</w:t>
      </w:r>
    </w:p>
    <w:p w:rsidR="002F0E23" w:rsidRDefault="002F0E23" w:rsidP="00DA7F58">
      <w:pPr>
        <w:rPr>
          <w:rFonts w:ascii="Courier" w:hAnsi="Courier" w:cs="Courier"/>
          <w:sz w:val="16"/>
          <w:szCs w:val="16"/>
          <w:lang w:val="en-US"/>
        </w:rPr>
      </w:pPr>
    </w:p>
    <w:p w:rsidR="002F0E23" w:rsidRDefault="002F0E23" w:rsidP="00DA7F58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sz w:val="19"/>
          <w:szCs w:val="19"/>
          <w:lang w:val="en-US"/>
        </w:rPr>
        <w:t>JdbcRowSet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 accomplishes the following:</w:t>
      </w:r>
    </w:p>
    <w:p w:rsidR="002F0E23" w:rsidRDefault="002F0E23" w:rsidP="00DA7F58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It establishes a connection with a database (so you don’t need a separate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Connection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object).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ZapfDingbats" w:eastAsia="ZapfDingbats" w:hAnsi="NewBaskerville-Roman" w:cs="ZapfDingbats" w:hint="eastAsia"/>
          <w:sz w:val="10"/>
          <w:szCs w:val="10"/>
          <w:lang w:val="en-US"/>
        </w:rPr>
        <w:t>■</w:t>
      </w:r>
      <w:r>
        <w:rPr>
          <w:rFonts w:ascii="ZapfDingbats" w:eastAsia="ZapfDingbats" w:hAnsi="NewBaskerville-Roman" w:cs="ZapfDingbats"/>
          <w:sz w:val="10"/>
          <w:szCs w:val="10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It creates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PreparedStatement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 for the query to execute (so you don’t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need a separate </w:t>
      </w:r>
      <w:r>
        <w:rPr>
          <w:rFonts w:ascii="Courier" w:hAnsi="Courier" w:cs="Courier"/>
          <w:sz w:val="19"/>
          <w:szCs w:val="19"/>
          <w:lang w:val="en-US"/>
        </w:rPr>
        <w:t xml:space="preserve">Statement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object).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ZapfDingbats" w:eastAsia="ZapfDingbats" w:hAnsi="NewBaskerville-Roman" w:cs="ZapfDingbats" w:hint="eastAsia"/>
          <w:sz w:val="10"/>
          <w:szCs w:val="10"/>
          <w:lang w:val="en-US"/>
        </w:rPr>
        <w:t>■</w:t>
      </w:r>
      <w:r>
        <w:rPr>
          <w:rFonts w:ascii="ZapfDingbats" w:eastAsia="ZapfDingbats" w:hAnsi="NewBaskerville-Roman" w:cs="ZapfDingbats"/>
          <w:sz w:val="10"/>
          <w:szCs w:val="10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It executes the </w:t>
      </w:r>
      <w:r>
        <w:rPr>
          <w:rFonts w:ascii="NewBaskerville-Roman" w:hAnsi="NewBaskerville-Roman" w:cs="NewBaskerville-Roman"/>
          <w:sz w:val="18"/>
          <w:szCs w:val="18"/>
          <w:lang w:val="en-US"/>
        </w:rPr>
        <w:t xml:space="preserve">SQL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statement to create a </w:t>
      </w:r>
      <w:proofErr w:type="spellStart"/>
      <w:r>
        <w:rPr>
          <w:rFonts w:ascii="Courier" w:hAnsi="Courier" w:cs="Courier"/>
          <w:sz w:val="19"/>
          <w:szCs w:val="19"/>
          <w:lang w:val="en-US"/>
        </w:rPr>
        <w:t>ResultSet</w:t>
      </w:r>
      <w:proofErr w:type="spellEnd"/>
      <w:r>
        <w:rPr>
          <w:rFonts w:ascii="Courier" w:hAnsi="Courier" w:cs="Courier"/>
          <w:sz w:val="19"/>
          <w:szCs w:val="19"/>
          <w:lang w:val="en-US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object.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If the </w:t>
      </w:r>
      <w:r>
        <w:rPr>
          <w:rFonts w:ascii="Courier" w:hAnsi="Courier" w:cs="Courier"/>
          <w:sz w:val="19"/>
          <w:szCs w:val="19"/>
          <w:lang w:val="en-US"/>
        </w:rPr>
        <w:t xml:space="preserve">execute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method isn’t successful, you can only call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execute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and </w:t>
      </w:r>
      <w:r>
        <w:rPr>
          <w:rFonts w:ascii="Courier" w:hAnsi="Courier" w:cs="Courier"/>
          <w:sz w:val="19"/>
          <w:szCs w:val="19"/>
          <w:lang w:val="en-US"/>
        </w:rPr>
        <w:t xml:space="preserve">close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methods on it. The rest of the methods will throw an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exception.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PREPARED Statement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If the </w:t>
      </w:r>
      <w:r>
        <w:rPr>
          <w:rFonts w:ascii="Courier" w:hAnsi="Courier" w:cs="Courier"/>
          <w:sz w:val="19"/>
          <w:szCs w:val="19"/>
          <w:lang w:val="en-US"/>
        </w:rPr>
        <w:t xml:space="preserve">execute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method isn’t successful, you can only call</w:t>
      </w:r>
    </w:p>
    <w:p w:rsidR="002F0E23" w:rsidRDefault="002F0E23" w:rsidP="002F0E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Courier" w:hAnsi="Courier" w:cs="Courier"/>
          <w:sz w:val="19"/>
          <w:szCs w:val="19"/>
          <w:lang w:val="en-US"/>
        </w:rPr>
        <w:t xml:space="preserve">execute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and </w:t>
      </w:r>
      <w:r>
        <w:rPr>
          <w:rFonts w:ascii="Courier" w:hAnsi="Courier" w:cs="Courier"/>
          <w:sz w:val="19"/>
          <w:szCs w:val="19"/>
          <w:lang w:val="en-US"/>
        </w:rPr>
        <w:t xml:space="preserve">close 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>methods on it. The rest of the methods will throw an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exception.</w:t>
      </w:r>
    </w:p>
    <w:p w:rsidR="002F0E23" w:rsidRDefault="002F0E23" w:rsidP="002F0E23">
      <w:pPr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2F0E23" w:rsidRPr="002F0E23" w:rsidRDefault="00393444" w:rsidP="002F0E23">
      <w:r>
        <w:rPr>
          <w:noProof/>
          <w:lang w:val="en-US" w:eastAsia="en-US"/>
        </w:rPr>
        <w:lastRenderedPageBreak/>
        <w:drawing>
          <wp:inline distT="0" distB="0" distL="0" distR="0">
            <wp:extent cx="5760720" cy="2604502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E23" w:rsidRPr="002F0E23" w:rsidSect="007E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0365A"/>
    <w:multiLevelType w:val="hybridMultilevel"/>
    <w:tmpl w:val="545E23C0"/>
    <w:lvl w:ilvl="0" w:tplc="27F66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144CA"/>
    <w:rsid w:val="00174786"/>
    <w:rsid w:val="002F0E23"/>
    <w:rsid w:val="00307D53"/>
    <w:rsid w:val="003144CA"/>
    <w:rsid w:val="00393444"/>
    <w:rsid w:val="00697957"/>
    <w:rsid w:val="006A6AF6"/>
    <w:rsid w:val="007D6FC4"/>
    <w:rsid w:val="007E592A"/>
    <w:rsid w:val="00AB5016"/>
    <w:rsid w:val="00DA7F58"/>
    <w:rsid w:val="00E6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C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4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</cp:revision>
  <dcterms:created xsi:type="dcterms:W3CDTF">2014-07-19T21:07:00Z</dcterms:created>
  <dcterms:modified xsi:type="dcterms:W3CDTF">2015-09-25T21:21:00Z</dcterms:modified>
</cp:coreProperties>
</file>