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Persaingan antara top-tier exchanges seperti Binance dan Coinbase semakin memanas, dengan fokus terbaru pada proyek-proyek yang dibangun di atas Solana. Kedua platform berlomba untuk menjadi yang pertama me-listing token-token Solana yang sedang naik daun,</w:t>
      </w:r>
      <w:r>
        <w:t xml:space="preserve"> sebagai upaya untuk merebut pangsa pasar dari dominasi token ERC-20 yang selama ini menjadi andalan. Meskipun volume perdagangan Bitcoin (BTC) dan Ethereum (ETH) masih menjadi sumber pendapatan utama, pertumbuhan user base Solana yang pesat tidak bisa lag</w:t>
      </w:r>
      <w:r>
        <w:t xml:space="preserve">i diabaikan.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Di sisi lain, ekosistem ETH tidak tinggal diam. Token-token mapan seperti Render (RNDR) terus mendapatkan feature premium seperti perpetual futures di berbagai exchange. Bahkan, fenomena meme coin seperti Pepe (PEPE) dan Floki (FLOKI) menunjukkan daya taha</w:t>
      </w:r>
      <w:r>
        <w:t xml:space="preserve">n yang mengejutkan, seringkali memicu volume spikes yang signifikan selama periode volatilitas pasar. Dinamika ini memaksa exchanges untuk menyeimbangkan strategi mereka: tetap setia pada blue-chip crypto seperti BTC dan ETH sambil secara agresif mengejar </w:t>
      </w:r>
      <w:r>
        <w:t xml:space="preserve">tren baru di ekosistem alternatif seperti Solana.</w:t>
      </w:r>
      <w:r/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2025-10-03T02:29:34Z</dcterms:modified>
</cp:coreProperties>
</file>