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t xml:space="preserve">Layanan kustodian tingkat institusional yang ditawarkan oleh crypto exchanges seperti Coinbase Prime dan BitGo kini memperluas jangkauan aset mereka. Jika sebelumnya hanya fokus pada Bitcoin (BTC) dan Ethereum (ETH), kini mereka mulai menawarkan dukungan p</w:t>
      </w:r>
      <w:r>
        <w:t xml:space="preserve">enuh untuk aset dari ekosistem alternatif. Solana (SOL) menjadi salah satu yang paling banyak diminta oleh para hedge fund dan asset manager, yang tertarik pada kecepatan transaksi dan ekosistem DeFi-nya yang berkembang.</w:t>
      </w:r>
      <w:r/>
    </w:p>
    <w:p>
      <w:pPr>
        <w:pBdr>
          <w:top w:val="none" w:color="000000" w:sz="4" w:space="0"/>
          <w:left w:val="none" w:color="000000" w:sz="4" w:space="0"/>
          <w:bottom w:val="none" w:color="000000" w:sz="4" w:space="0"/>
          <w:right w:val="none" w:color="000000" w:sz="4" w:space="0"/>
        </w:pBdr>
        <w:spacing/>
        <w:ind w:right="0" w:firstLine="0" w:left="0"/>
        <w:rPr/>
      </w:pPr>
      <w:r>
        <w:t xml:space="preserve">Ekspansi ini juga mencakup token-token ERC-20 dengan fundamental kuat dari ekosistem ETH. Render (RNDR), dengan posisinya di sektor DePIN dan AI, kini menjadi aset yang umum dipegang dalam layanan kustodian institusional. Meskipun token yang lebih spekulat</w:t>
      </w:r>
      <w:r>
        <w:t xml:space="preserve">if seperti Pepe (PEPE) dan Floki (FLOKI) belum masuk ke level ini, perluasan layanan kustodian menandakan proses pendewasaan pasar, di mana capital serius mulai melihat nilai di luar dua crypto terbesar.</w:t>
      </w:r>
      <w:r/>
      <w:r/>
      <w:r>
        <w:rPr>
          <w:rFonts w:ascii="Times New Roman" w:hAnsi="Times New Roman" w:eastAsia="Times New Roman" w:cs="Times New Roman"/>
          <w:sz w:val="24"/>
        </w:rPr>
      </w:r>
      <w:r>
        <w:rPr>
          <w:rFonts w:ascii="Times New Roman" w:hAnsi="Times New Roman" w:eastAsia="Times New Roman" w:cs="Times New Roman"/>
          <w:sz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2025-10-03T02:34:19Z</dcterms:modified>
</cp:coreProperties>
</file>