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4EB1A" w14:textId="77777777" w:rsidR="00B81972" w:rsidRPr="00B81972" w:rsidRDefault="00B81972" w:rsidP="00B81972">
      <w:pPr>
        <w:rPr>
          <w:b/>
          <w:bCs/>
        </w:rPr>
      </w:pPr>
      <w:r w:rsidRPr="00B81972">
        <w:rPr>
          <w:rFonts w:ascii="Segoe UI Emoji" w:hAnsi="Segoe UI Emoji" w:cs="Segoe UI Emoji"/>
          <w:b/>
          <w:bCs/>
        </w:rPr>
        <w:t>📘</w:t>
      </w:r>
      <w:r w:rsidRPr="00B81972">
        <w:rPr>
          <w:b/>
          <w:bCs/>
        </w:rPr>
        <w:t xml:space="preserve"> Documentation: Customer Credit Risk &amp; Financial Overview Dashboard</w:t>
      </w:r>
    </w:p>
    <w:p w14:paraId="38AC43E6" w14:textId="77777777" w:rsidR="00B81972" w:rsidRPr="00B81972" w:rsidRDefault="00B81972" w:rsidP="00B81972">
      <w:pPr>
        <w:rPr>
          <w:b/>
          <w:bCs/>
        </w:rPr>
      </w:pPr>
      <w:r w:rsidRPr="00B81972">
        <w:rPr>
          <w:rFonts w:ascii="Segoe UI Emoji" w:hAnsi="Segoe UI Emoji" w:cs="Segoe UI Emoji"/>
          <w:b/>
          <w:bCs/>
        </w:rPr>
        <w:t>📌</w:t>
      </w:r>
      <w:r w:rsidRPr="00B81972">
        <w:rPr>
          <w:b/>
          <w:bCs/>
        </w:rPr>
        <w:t xml:space="preserve"> Project Overview</w:t>
      </w:r>
    </w:p>
    <w:p w14:paraId="43B5A758" w14:textId="77777777" w:rsidR="00B81972" w:rsidRPr="00B81972" w:rsidRDefault="00B81972" w:rsidP="00B81972">
      <w:r w:rsidRPr="00B81972">
        <w:t xml:space="preserve">This Power BI dashboard presents a comprehensive analysis of customer credit risk and financial profiles based on various demographic and financial parameters. The aim is to assist financial institutions and analysts in understanding customer </w:t>
      </w:r>
      <w:proofErr w:type="spellStart"/>
      <w:r w:rsidRPr="00B81972">
        <w:t>behavior</w:t>
      </w:r>
      <w:proofErr w:type="spellEnd"/>
      <w:r w:rsidRPr="00B81972">
        <w:t>, identifying risk patterns, and supporting informed decision-making in credit and loan management.</w:t>
      </w:r>
    </w:p>
    <w:p w14:paraId="2AE1BE2D" w14:textId="77777777" w:rsidR="00B81972" w:rsidRPr="00B81972" w:rsidRDefault="00B81972" w:rsidP="00B81972">
      <w:r w:rsidRPr="00B81972">
        <w:pict w14:anchorId="432E2305">
          <v:rect id="_x0000_i1080" style="width:0;height:1.5pt" o:hralign="center" o:hrstd="t" o:hr="t" fillcolor="#a0a0a0" stroked="f"/>
        </w:pict>
      </w:r>
    </w:p>
    <w:p w14:paraId="31498AB5" w14:textId="77777777" w:rsidR="00B81972" w:rsidRPr="00B81972" w:rsidRDefault="00B81972" w:rsidP="00B81972">
      <w:pPr>
        <w:rPr>
          <w:b/>
          <w:bCs/>
        </w:rPr>
      </w:pPr>
      <w:r w:rsidRPr="00B81972">
        <w:rPr>
          <w:rFonts w:ascii="Segoe UI Emoji" w:hAnsi="Segoe UI Emoji" w:cs="Segoe UI Emoji"/>
          <w:b/>
          <w:bCs/>
        </w:rPr>
        <w:t>📊</w:t>
      </w:r>
      <w:r w:rsidRPr="00B81972">
        <w:rPr>
          <w:b/>
          <w:bCs/>
        </w:rPr>
        <w:t xml:space="preserve"> Key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803"/>
      </w:tblGrid>
      <w:tr w:rsidR="00B81972" w:rsidRPr="00B81972" w14:paraId="18415DE5" w14:textId="77777777" w:rsidTr="00B819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B0ABB" w14:textId="77777777" w:rsidR="00B81972" w:rsidRPr="00B81972" w:rsidRDefault="00B81972" w:rsidP="00B81972">
            <w:pPr>
              <w:rPr>
                <w:b/>
                <w:bCs/>
              </w:rPr>
            </w:pPr>
            <w:r w:rsidRPr="00B81972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8B7A4FD" w14:textId="77777777" w:rsidR="00B81972" w:rsidRPr="00B81972" w:rsidRDefault="00B81972" w:rsidP="00B81972">
            <w:pPr>
              <w:rPr>
                <w:b/>
                <w:bCs/>
              </w:rPr>
            </w:pPr>
            <w:r w:rsidRPr="00B81972">
              <w:rPr>
                <w:b/>
                <w:bCs/>
              </w:rPr>
              <w:t>Value</w:t>
            </w:r>
          </w:p>
        </w:tc>
      </w:tr>
      <w:tr w:rsidR="00B81972" w:rsidRPr="00B81972" w14:paraId="3DB3A2FA" w14:textId="77777777" w:rsidTr="00B81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BE7D2" w14:textId="77777777" w:rsidR="00B81972" w:rsidRPr="00B81972" w:rsidRDefault="00B81972" w:rsidP="00B81972">
            <w:r w:rsidRPr="00B81972">
              <w:t>Total Customers</w:t>
            </w:r>
          </w:p>
        </w:tc>
        <w:tc>
          <w:tcPr>
            <w:tcW w:w="0" w:type="auto"/>
            <w:vAlign w:val="center"/>
            <w:hideMark/>
          </w:tcPr>
          <w:p w14:paraId="29B91DA9" w14:textId="77777777" w:rsidR="00B81972" w:rsidRPr="00B81972" w:rsidRDefault="00B81972" w:rsidP="00B81972">
            <w:r w:rsidRPr="00B81972">
              <w:t>149.98K</w:t>
            </w:r>
          </w:p>
        </w:tc>
      </w:tr>
      <w:tr w:rsidR="00B81972" w:rsidRPr="00B81972" w14:paraId="24E626AA" w14:textId="77777777" w:rsidTr="00B81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02EB5" w14:textId="77777777" w:rsidR="00B81972" w:rsidRPr="00B81972" w:rsidRDefault="00B81972" w:rsidP="00B81972">
            <w:r w:rsidRPr="00B81972">
              <w:t>Average Monthly Income</w:t>
            </w:r>
          </w:p>
        </w:tc>
        <w:tc>
          <w:tcPr>
            <w:tcW w:w="0" w:type="auto"/>
            <w:vAlign w:val="center"/>
            <w:hideMark/>
          </w:tcPr>
          <w:p w14:paraId="638CA015" w14:textId="77777777" w:rsidR="00B81972" w:rsidRPr="00B81972" w:rsidRDefault="00B81972" w:rsidP="00B81972">
            <w:r w:rsidRPr="00B81972">
              <w:t>6.67K</w:t>
            </w:r>
          </w:p>
        </w:tc>
      </w:tr>
      <w:tr w:rsidR="00B81972" w:rsidRPr="00B81972" w14:paraId="23C7AC69" w14:textId="77777777" w:rsidTr="00B81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603DA" w14:textId="77777777" w:rsidR="00B81972" w:rsidRPr="00B81972" w:rsidRDefault="00B81972" w:rsidP="00B81972">
            <w:r w:rsidRPr="00B81972">
              <w:t>Average Debt Ratio</w:t>
            </w:r>
          </w:p>
        </w:tc>
        <w:tc>
          <w:tcPr>
            <w:tcW w:w="0" w:type="auto"/>
            <w:vAlign w:val="center"/>
            <w:hideMark/>
          </w:tcPr>
          <w:p w14:paraId="60AE8F98" w14:textId="77777777" w:rsidR="00B81972" w:rsidRPr="00B81972" w:rsidRDefault="00B81972" w:rsidP="00B81972">
            <w:r w:rsidRPr="00B81972">
              <w:t>0.35K</w:t>
            </w:r>
          </w:p>
        </w:tc>
      </w:tr>
      <w:tr w:rsidR="00B81972" w:rsidRPr="00B81972" w14:paraId="60FDA9CA" w14:textId="77777777" w:rsidTr="00B81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E0B17" w14:textId="77777777" w:rsidR="00B81972" w:rsidRPr="00B81972" w:rsidRDefault="00B81972" w:rsidP="00B81972">
            <w:r w:rsidRPr="00B81972">
              <w:t>Avg. Open Credit Lines</w:t>
            </w:r>
          </w:p>
        </w:tc>
        <w:tc>
          <w:tcPr>
            <w:tcW w:w="0" w:type="auto"/>
            <w:vAlign w:val="center"/>
            <w:hideMark/>
          </w:tcPr>
          <w:p w14:paraId="076C4E1F" w14:textId="77777777" w:rsidR="00B81972" w:rsidRPr="00B81972" w:rsidRDefault="00B81972" w:rsidP="00B81972">
            <w:r w:rsidRPr="00B81972">
              <w:t>0.01K</w:t>
            </w:r>
          </w:p>
        </w:tc>
      </w:tr>
    </w:tbl>
    <w:p w14:paraId="7E67A2DD" w14:textId="77777777" w:rsidR="00B81972" w:rsidRPr="00B81972" w:rsidRDefault="00B81972" w:rsidP="00B81972">
      <w:r w:rsidRPr="00B81972">
        <w:pict w14:anchorId="5C025CDE">
          <v:rect id="_x0000_i1081" style="width:0;height:1.5pt" o:hralign="center" o:hrstd="t" o:hr="t" fillcolor="#a0a0a0" stroked="f"/>
        </w:pict>
      </w:r>
    </w:p>
    <w:p w14:paraId="68DFFB7C" w14:textId="77777777" w:rsidR="00B81972" w:rsidRPr="00B81972" w:rsidRDefault="00B81972" w:rsidP="00B81972">
      <w:pPr>
        <w:rPr>
          <w:b/>
          <w:bCs/>
        </w:rPr>
      </w:pPr>
      <w:r w:rsidRPr="00B81972">
        <w:rPr>
          <w:rFonts w:ascii="Segoe UI Emoji" w:hAnsi="Segoe UI Emoji" w:cs="Segoe UI Emoji"/>
          <w:b/>
          <w:bCs/>
        </w:rPr>
        <w:t>📈</w:t>
      </w:r>
      <w:r w:rsidRPr="00B81972">
        <w:rPr>
          <w:b/>
          <w:bCs/>
        </w:rPr>
        <w:t xml:space="preserve"> Visual Analysis &amp; Insights</w:t>
      </w:r>
    </w:p>
    <w:p w14:paraId="73BF9FFB" w14:textId="77777777" w:rsidR="00B81972" w:rsidRPr="00B81972" w:rsidRDefault="00B81972" w:rsidP="00B81972">
      <w:pPr>
        <w:rPr>
          <w:b/>
          <w:bCs/>
        </w:rPr>
      </w:pPr>
      <w:r w:rsidRPr="00B81972">
        <w:rPr>
          <w:b/>
          <w:bCs/>
        </w:rPr>
        <w:t>1. Monthly Income by Education and Gender</w:t>
      </w:r>
    </w:p>
    <w:p w14:paraId="19695B85" w14:textId="77777777" w:rsidR="00B81972" w:rsidRPr="00B81972" w:rsidRDefault="00B81972" w:rsidP="00B81972">
      <w:pPr>
        <w:numPr>
          <w:ilvl w:val="0"/>
          <w:numId w:val="1"/>
        </w:numPr>
      </w:pPr>
      <w:r w:rsidRPr="00B81972">
        <w:rPr>
          <w:b/>
          <w:bCs/>
        </w:rPr>
        <w:t>Post-Graduate</w:t>
      </w:r>
      <w:r w:rsidRPr="00B81972">
        <w:t xml:space="preserve"> customers (particularly </w:t>
      </w:r>
      <w:r w:rsidRPr="00B81972">
        <w:rPr>
          <w:b/>
          <w:bCs/>
        </w:rPr>
        <w:t>males</w:t>
      </w:r>
      <w:r w:rsidRPr="00B81972">
        <w:t xml:space="preserve">) have the </w:t>
      </w:r>
      <w:r w:rsidRPr="00B81972">
        <w:rPr>
          <w:b/>
          <w:bCs/>
        </w:rPr>
        <w:t>highest total income</w:t>
      </w:r>
      <w:r w:rsidRPr="00B81972">
        <w:t>.</w:t>
      </w:r>
    </w:p>
    <w:p w14:paraId="79E8B031" w14:textId="77777777" w:rsidR="00B81972" w:rsidRPr="00B81972" w:rsidRDefault="00B81972" w:rsidP="00B81972">
      <w:pPr>
        <w:numPr>
          <w:ilvl w:val="0"/>
          <w:numId w:val="1"/>
        </w:numPr>
      </w:pPr>
      <w:r w:rsidRPr="00B81972">
        <w:t>A consistent income disparity exists between genders across all education levels.</w:t>
      </w:r>
    </w:p>
    <w:p w14:paraId="6EBC2E73" w14:textId="77777777" w:rsidR="00B81972" w:rsidRPr="00B81972" w:rsidRDefault="00B81972" w:rsidP="00B81972">
      <w:pPr>
        <w:rPr>
          <w:b/>
          <w:bCs/>
        </w:rPr>
      </w:pPr>
      <w:r w:rsidRPr="00B81972">
        <w:rPr>
          <w:b/>
          <w:bCs/>
        </w:rPr>
        <w:t>2. Number of Dependents and Debt Ratio by Age</w:t>
      </w:r>
    </w:p>
    <w:p w14:paraId="444EEC49" w14:textId="77777777" w:rsidR="00B81972" w:rsidRPr="00B81972" w:rsidRDefault="00B81972" w:rsidP="00B81972">
      <w:pPr>
        <w:numPr>
          <w:ilvl w:val="0"/>
          <w:numId w:val="2"/>
        </w:numPr>
      </w:pPr>
      <w:r w:rsidRPr="00B81972">
        <w:t>Debt ratio varies across age groups with visible spikes in specific ranges.</w:t>
      </w:r>
    </w:p>
    <w:p w14:paraId="22CB85C3" w14:textId="77777777" w:rsidR="00B81972" w:rsidRPr="00B81972" w:rsidRDefault="00B81972" w:rsidP="00B81972">
      <w:pPr>
        <w:numPr>
          <w:ilvl w:val="0"/>
          <w:numId w:val="2"/>
        </w:numPr>
      </w:pPr>
      <w:r w:rsidRPr="00B81972">
        <w:rPr>
          <w:b/>
          <w:bCs/>
        </w:rPr>
        <w:t>Dependents count</w:t>
      </w:r>
      <w:r w:rsidRPr="00B81972">
        <w:t xml:space="preserve"> is </w:t>
      </w:r>
      <w:r w:rsidRPr="00B81972">
        <w:rPr>
          <w:b/>
          <w:bCs/>
        </w:rPr>
        <w:t>highest among middle-aged individuals</w:t>
      </w:r>
      <w:r w:rsidRPr="00B81972">
        <w:t>.</w:t>
      </w:r>
    </w:p>
    <w:p w14:paraId="74D74A20" w14:textId="77777777" w:rsidR="00B81972" w:rsidRPr="00B81972" w:rsidRDefault="00B81972" w:rsidP="00B81972">
      <w:pPr>
        <w:rPr>
          <w:b/>
          <w:bCs/>
        </w:rPr>
      </w:pPr>
      <w:r w:rsidRPr="00B81972">
        <w:rPr>
          <w:b/>
          <w:bCs/>
        </w:rPr>
        <w:t>3. Education by Region</w:t>
      </w:r>
    </w:p>
    <w:p w14:paraId="0243A7FD" w14:textId="77777777" w:rsidR="00B81972" w:rsidRPr="00B81972" w:rsidRDefault="00B81972" w:rsidP="00B81972">
      <w:pPr>
        <w:numPr>
          <w:ilvl w:val="0"/>
          <w:numId w:val="3"/>
        </w:numPr>
      </w:pPr>
      <w:r w:rsidRPr="00B81972">
        <w:t>Distribution:</w:t>
      </w:r>
    </w:p>
    <w:p w14:paraId="789039D9" w14:textId="77777777" w:rsidR="00B81972" w:rsidRPr="00B81972" w:rsidRDefault="00B81972" w:rsidP="00B81972">
      <w:pPr>
        <w:numPr>
          <w:ilvl w:val="1"/>
          <w:numId w:val="3"/>
        </w:numPr>
      </w:pPr>
      <w:r w:rsidRPr="00B81972">
        <w:rPr>
          <w:b/>
          <w:bCs/>
        </w:rPr>
        <w:t>East</w:t>
      </w:r>
      <w:r w:rsidRPr="00B81972">
        <w:t>: 43.95K</w:t>
      </w:r>
    </w:p>
    <w:p w14:paraId="500828BA" w14:textId="77777777" w:rsidR="00B81972" w:rsidRPr="00B81972" w:rsidRDefault="00B81972" w:rsidP="00B81972">
      <w:pPr>
        <w:numPr>
          <w:ilvl w:val="1"/>
          <w:numId w:val="3"/>
        </w:numPr>
      </w:pPr>
      <w:r w:rsidRPr="00B81972">
        <w:rPr>
          <w:b/>
          <w:bCs/>
        </w:rPr>
        <w:t>Central</w:t>
      </w:r>
      <w:r w:rsidRPr="00B81972">
        <w:t>: 34.09K</w:t>
      </w:r>
    </w:p>
    <w:p w14:paraId="640F51E4" w14:textId="77777777" w:rsidR="00B81972" w:rsidRPr="00B81972" w:rsidRDefault="00B81972" w:rsidP="00B81972">
      <w:pPr>
        <w:numPr>
          <w:ilvl w:val="1"/>
          <w:numId w:val="3"/>
        </w:numPr>
      </w:pPr>
      <w:r w:rsidRPr="00B81972">
        <w:rPr>
          <w:b/>
          <w:bCs/>
        </w:rPr>
        <w:t>North</w:t>
      </w:r>
      <w:r w:rsidRPr="00B81972">
        <w:t>: 27.9K</w:t>
      </w:r>
    </w:p>
    <w:p w14:paraId="3AC58E5E" w14:textId="77777777" w:rsidR="00B81972" w:rsidRPr="00B81972" w:rsidRDefault="00B81972" w:rsidP="00B81972">
      <w:pPr>
        <w:numPr>
          <w:ilvl w:val="1"/>
          <w:numId w:val="3"/>
        </w:numPr>
      </w:pPr>
      <w:r w:rsidRPr="00B81972">
        <w:rPr>
          <w:b/>
          <w:bCs/>
        </w:rPr>
        <w:t>West</w:t>
      </w:r>
      <w:r w:rsidRPr="00B81972">
        <w:t>: 23.49K</w:t>
      </w:r>
    </w:p>
    <w:p w14:paraId="47F36D43" w14:textId="77777777" w:rsidR="00B81972" w:rsidRPr="00B81972" w:rsidRDefault="00B81972" w:rsidP="00B81972">
      <w:pPr>
        <w:numPr>
          <w:ilvl w:val="1"/>
          <w:numId w:val="3"/>
        </w:numPr>
      </w:pPr>
      <w:r w:rsidRPr="00B81972">
        <w:rPr>
          <w:b/>
          <w:bCs/>
        </w:rPr>
        <w:t>South</w:t>
      </w:r>
      <w:r w:rsidRPr="00B81972">
        <w:t>: 20.55K</w:t>
      </w:r>
    </w:p>
    <w:p w14:paraId="60B37742" w14:textId="77777777" w:rsidR="00B81972" w:rsidRPr="00B81972" w:rsidRDefault="00B81972" w:rsidP="00B81972">
      <w:pPr>
        <w:numPr>
          <w:ilvl w:val="0"/>
          <w:numId w:val="3"/>
        </w:numPr>
      </w:pPr>
      <w:r w:rsidRPr="00B81972">
        <w:rPr>
          <w:b/>
          <w:bCs/>
        </w:rPr>
        <w:t>East and Central</w:t>
      </w:r>
      <w:r w:rsidRPr="00B81972">
        <w:t xml:space="preserve"> regions show the highest educational representation.</w:t>
      </w:r>
    </w:p>
    <w:p w14:paraId="5FF30999" w14:textId="77777777" w:rsidR="00B81972" w:rsidRPr="00B81972" w:rsidRDefault="00B81972" w:rsidP="00B81972">
      <w:pPr>
        <w:rPr>
          <w:b/>
          <w:bCs/>
        </w:rPr>
      </w:pPr>
      <w:r w:rsidRPr="00B81972">
        <w:rPr>
          <w:b/>
          <w:bCs/>
        </w:rPr>
        <w:t>4. Monthly Income by Region and Occupation</w:t>
      </w:r>
    </w:p>
    <w:p w14:paraId="09C41EA2" w14:textId="77777777" w:rsidR="00B81972" w:rsidRPr="00B81972" w:rsidRDefault="00B81972" w:rsidP="00B81972">
      <w:pPr>
        <w:numPr>
          <w:ilvl w:val="0"/>
          <w:numId w:val="4"/>
        </w:numPr>
      </w:pPr>
      <w:r w:rsidRPr="00B81972">
        <w:rPr>
          <w:b/>
          <w:bCs/>
        </w:rPr>
        <w:t>Non-officers</w:t>
      </w:r>
      <w:r w:rsidRPr="00B81972">
        <w:t xml:space="preserve"> in the </w:t>
      </w:r>
      <w:r w:rsidRPr="00B81972">
        <w:rPr>
          <w:b/>
          <w:bCs/>
        </w:rPr>
        <w:t>Central</w:t>
      </w:r>
      <w:r w:rsidRPr="00B81972">
        <w:t xml:space="preserve"> region lead with a total of </w:t>
      </w:r>
      <w:r w:rsidRPr="00B81972">
        <w:rPr>
          <w:b/>
          <w:bCs/>
        </w:rPr>
        <w:t>131.06M</w:t>
      </w:r>
      <w:r w:rsidRPr="00B81972">
        <w:t>.</w:t>
      </w:r>
    </w:p>
    <w:p w14:paraId="43D7DD7B" w14:textId="77777777" w:rsidR="00B81972" w:rsidRPr="00B81972" w:rsidRDefault="00B81972" w:rsidP="00B81972">
      <w:pPr>
        <w:numPr>
          <w:ilvl w:val="0"/>
          <w:numId w:val="4"/>
        </w:numPr>
      </w:pPr>
      <w:r w:rsidRPr="00B81972">
        <w:rPr>
          <w:b/>
          <w:bCs/>
        </w:rPr>
        <w:lastRenderedPageBreak/>
        <w:t>Self-employed</w:t>
      </w:r>
      <w:r w:rsidRPr="00B81972">
        <w:t xml:space="preserve"> customers in the </w:t>
      </w:r>
      <w:r w:rsidRPr="00B81972">
        <w:rPr>
          <w:b/>
          <w:bCs/>
        </w:rPr>
        <w:t>North and West</w:t>
      </w:r>
      <w:r w:rsidRPr="00B81972">
        <w:t xml:space="preserve"> also contribute significantly.</w:t>
      </w:r>
    </w:p>
    <w:p w14:paraId="4B588D1A" w14:textId="77777777" w:rsidR="00B81972" w:rsidRPr="00B81972" w:rsidRDefault="00B81972" w:rsidP="00B81972">
      <w:pPr>
        <w:rPr>
          <w:b/>
          <w:bCs/>
        </w:rPr>
      </w:pPr>
      <w:r w:rsidRPr="00B81972">
        <w:rPr>
          <w:b/>
          <w:bCs/>
        </w:rPr>
        <w:t>5. Number of Dependents by Housing Type</w:t>
      </w:r>
    </w:p>
    <w:p w14:paraId="1F29FAFC" w14:textId="77777777" w:rsidR="00B81972" w:rsidRPr="00B81972" w:rsidRDefault="00B81972" w:rsidP="00B81972">
      <w:pPr>
        <w:numPr>
          <w:ilvl w:val="0"/>
          <w:numId w:val="5"/>
        </w:numPr>
      </w:pPr>
      <w:r w:rsidRPr="00B81972">
        <w:rPr>
          <w:b/>
          <w:bCs/>
        </w:rPr>
        <w:t>Rented Homes</w:t>
      </w:r>
      <w:r w:rsidRPr="00B81972">
        <w:t>: 63K dependents</w:t>
      </w:r>
    </w:p>
    <w:p w14:paraId="288E558A" w14:textId="77777777" w:rsidR="00B81972" w:rsidRPr="00B81972" w:rsidRDefault="00B81972" w:rsidP="00B81972">
      <w:pPr>
        <w:numPr>
          <w:ilvl w:val="0"/>
          <w:numId w:val="5"/>
        </w:numPr>
      </w:pPr>
      <w:r w:rsidRPr="00B81972">
        <w:rPr>
          <w:b/>
          <w:bCs/>
        </w:rPr>
        <w:t>Owned Homes</w:t>
      </w:r>
      <w:r w:rsidRPr="00B81972">
        <w:t>: 48K dependents</w:t>
      </w:r>
    </w:p>
    <w:p w14:paraId="77744740" w14:textId="77777777" w:rsidR="00B81972" w:rsidRPr="00B81972" w:rsidRDefault="00B81972" w:rsidP="00B81972">
      <w:pPr>
        <w:numPr>
          <w:ilvl w:val="0"/>
          <w:numId w:val="5"/>
        </w:numPr>
      </w:pPr>
      <w:r w:rsidRPr="00B81972">
        <w:t>Dependents are more common in rented households.</w:t>
      </w:r>
    </w:p>
    <w:p w14:paraId="42DE6453" w14:textId="77777777" w:rsidR="00B81972" w:rsidRPr="00B81972" w:rsidRDefault="00B81972" w:rsidP="00B81972">
      <w:pPr>
        <w:rPr>
          <w:b/>
          <w:bCs/>
        </w:rPr>
      </w:pPr>
      <w:r w:rsidRPr="00B81972">
        <w:rPr>
          <w:b/>
          <w:bCs/>
        </w:rPr>
        <w:t>6. Dependents by Occupation &amp; Credit Risk (Good/Bad)</w:t>
      </w:r>
    </w:p>
    <w:p w14:paraId="68BBAA94" w14:textId="77777777" w:rsidR="00B81972" w:rsidRPr="00B81972" w:rsidRDefault="00B81972" w:rsidP="00B81972">
      <w:pPr>
        <w:numPr>
          <w:ilvl w:val="0"/>
          <w:numId w:val="6"/>
        </w:numPr>
      </w:pPr>
      <w:r w:rsidRPr="00B81972">
        <w:rPr>
          <w:b/>
          <w:bCs/>
        </w:rPr>
        <w:t>Non-officers</w:t>
      </w:r>
      <w:r w:rsidRPr="00B81972">
        <w:t xml:space="preserve"> dominate both </w:t>
      </w:r>
      <w:r w:rsidRPr="00B81972">
        <w:rPr>
          <w:b/>
          <w:bCs/>
        </w:rPr>
        <w:t>Good</w:t>
      </w:r>
      <w:r w:rsidRPr="00B81972">
        <w:t xml:space="preserve"> and </w:t>
      </w:r>
      <w:r w:rsidRPr="00B81972">
        <w:rPr>
          <w:b/>
          <w:bCs/>
        </w:rPr>
        <w:t>Bad</w:t>
      </w:r>
      <w:r w:rsidRPr="00B81972">
        <w:t xml:space="preserve"> credit risk categories.</w:t>
      </w:r>
    </w:p>
    <w:p w14:paraId="028BD539" w14:textId="77777777" w:rsidR="00B81972" w:rsidRPr="00B81972" w:rsidRDefault="00B81972" w:rsidP="00B81972">
      <w:pPr>
        <w:numPr>
          <w:ilvl w:val="0"/>
          <w:numId w:val="6"/>
        </w:numPr>
      </w:pPr>
      <w:r w:rsidRPr="00B81972">
        <w:t xml:space="preserve">Dependents are more frequent among the </w:t>
      </w:r>
      <w:proofErr w:type="gramStart"/>
      <w:r w:rsidRPr="00B81972">
        <w:rPr>
          <w:b/>
          <w:bCs/>
        </w:rPr>
        <w:t>Good</w:t>
      </w:r>
      <w:proofErr w:type="gramEnd"/>
      <w:r w:rsidRPr="00B81972">
        <w:rPr>
          <w:b/>
          <w:bCs/>
        </w:rPr>
        <w:t xml:space="preserve"> credit</w:t>
      </w:r>
      <w:r w:rsidRPr="00B81972">
        <w:t xml:space="preserve"> group.</w:t>
      </w:r>
    </w:p>
    <w:p w14:paraId="497F9CEF" w14:textId="77777777" w:rsidR="00B81972" w:rsidRPr="00B81972" w:rsidRDefault="00B81972" w:rsidP="00B81972">
      <w:pPr>
        <w:rPr>
          <w:b/>
          <w:bCs/>
        </w:rPr>
      </w:pPr>
      <w:r w:rsidRPr="00B81972">
        <w:rPr>
          <w:b/>
          <w:bCs/>
        </w:rPr>
        <w:t>7. Monthly Income by Credit Risk and Housing</w:t>
      </w:r>
    </w:p>
    <w:p w14:paraId="3FB463A1" w14:textId="77777777" w:rsidR="00B81972" w:rsidRPr="00B81972" w:rsidRDefault="00B81972" w:rsidP="00B81972">
      <w:pPr>
        <w:numPr>
          <w:ilvl w:val="0"/>
          <w:numId w:val="7"/>
        </w:numPr>
      </w:pPr>
      <w:r w:rsidRPr="00B81972">
        <w:rPr>
          <w:b/>
          <w:bCs/>
        </w:rPr>
        <w:t>Good credit - Owned House</w:t>
      </w:r>
      <w:r w:rsidRPr="00B81972">
        <w:t>: +0.94bn</w:t>
      </w:r>
    </w:p>
    <w:p w14:paraId="065EEA10" w14:textId="77777777" w:rsidR="00B81972" w:rsidRPr="00B81972" w:rsidRDefault="00B81972" w:rsidP="00B81972">
      <w:pPr>
        <w:numPr>
          <w:ilvl w:val="0"/>
          <w:numId w:val="7"/>
        </w:numPr>
      </w:pPr>
      <w:r w:rsidRPr="00B81972">
        <w:rPr>
          <w:b/>
          <w:bCs/>
        </w:rPr>
        <w:t>Bad credit - Rented House</w:t>
      </w:r>
      <w:r w:rsidRPr="00B81972">
        <w:t>: -0.50bn</w:t>
      </w:r>
    </w:p>
    <w:p w14:paraId="024621BC" w14:textId="77777777" w:rsidR="00B81972" w:rsidRPr="00B81972" w:rsidRDefault="00B81972" w:rsidP="00B81972">
      <w:pPr>
        <w:numPr>
          <w:ilvl w:val="0"/>
          <w:numId w:val="7"/>
        </w:numPr>
      </w:pPr>
      <w:r w:rsidRPr="00B81972">
        <w:t>Clear financial stability difference across credit and housing types.</w:t>
      </w:r>
    </w:p>
    <w:p w14:paraId="5788EC6E" w14:textId="77777777" w:rsidR="00B81972" w:rsidRPr="00B81972" w:rsidRDefault="00B81972" w:rsidP="00B81972">
      <w:r w:rsidRPr="00B81972">
        <w:pict w14:anchorId="61B1999F">
          <v:rect id="_x0000_i1082" style="width:0;height:1.5pt" o:hralign="center" o:hrstd="t" o:hr="t" fillcolor="#a0a0a0" stroked="f"/>
        </w:pict>
      </w:r>
    </w:p>
    <w:p w14:paraId="3AE32E93" w14:textId="77777777" w:rsidR="00B81972" w:rsidRPr="00B81972" w:rsidRDefault="00B81972" w:rsidP="00B81972">
      <w:pPr>
        <w:rPr>
          <w:b/>
          <w:bCs/>
        </w:rPr>
      </w:pPr>
      <w:r w:rsidRPr="00B81972">
        <w:rPr>
          <w:rFonts w:ascii="Segoe UI Emoji" w:hAnsi="Segoe UI Emoji" w:cs="Segoe UI Emoji"/>
          <w:b/>
          <w:bCs/>
        </w:rPr>
        <w:t>🛠️</w:t>
      </w:r>
      <w:r w:rsidRPr="00B81972">
        <w:rPr>
          <w:b/>
          <w:bCs/>
        </w:rPr>
        <w:t xml:space="preserve"> Tools &amp; Technologies Used</w:t>
      </w:r>
    </w:p>
    <w:p w14:paraId="387E9C7D" w14:textId="77777777" w:rsidR="00B81972" w:rsidRPr="00B81972" w:rsidRDefault="00B81972" w:rsidP="00B81972">
      <w:pPr>
        <w:numPr>
          <w:ilvl w:val="0"/>
          <w:numId w:val="8"/>
        </w:numPr>
      </w:pPr>
      <w:r w:rsidRPr="00B81972">
        <w:rPr>
          <w:b/>
          <w:bCs/>
        </w:rPr>
        <w:t>Power BI Desktop</w:t>
      </w:r>
    </w:p>
    <w:p w14:paraId="6C462E24" w14:textId="77777777" w:rsidR="00B81972" w:rsidRPr="00B81972" w:rsidRDefault="00B81972" w:rsidP="00B81972">
      <w:pPr>
        <w:numPr>
          <w:ilvl w:val="0"/>
          <w:numId w:val="8"/>
        </w:numPr>
      </w:pPr>
      <w:r w:rsidRPr="00B81972">
        <w:rPr>
          <w:b/>
          <w:bCs/>
        </w:rPr>
        <w:t>DAX (Data Analysis Expressions)</w:t>
      </w:r>
    </w:p>
    <w:p w14:paraId="5B6506E6" w14:textId="77777777" w:rsidR="00B81972" w:rsidRPr="00B81972" w:rsidRDefault="00B81972" w:rsidP="00B81972">
      <w:pPr>
        <w:numPr>
          <w:ilvl w:val="0"/>
          <w:numId w:val="8"/>
        </w:numPr>
      </w:pPr>
      <w:r w:rsidRPr="00B81972">
        <w:rPr>
          <w:b/>
          <w:bCs/>
        </w:rPr>
        <w:t>Slicers, Filters, and Bar/Column Charts</w:t>
      </w:r>
    </w:p>
    <w:p w14:paraId="4DC68E14" w14:textId="77777777" w:rsidR="00B81972" w:rsidRPr="00B81972" w:rsidRDefault="00B81972" w:rsidP="00B81972">
      <w:pPr>
        <w:numPr>
          <w:ilvl w:val="0"/>
          <w:numId w:val="8"/>
        </w:numPr>
      </w:pPr>
      <w:r w:rsidRPr="00B81972">
        <w:rPr>
          <w:b/>
          <w:bCs/>
        </w:rPr>
        <w:t>Custom Formatting &amp; Layout</w:t>
      </w:r>
    </w:p>
    <w:p w14:paraId="55457E04" w14:textId="77777777" w:rsidR="00B81972" w:rsidRPr="00B81972" w:rsidRDefault="00B81972" w:rsidP="00B81972">
      <w:r w:rsidRPr="00B81972">
        <w:pict w14:anchorId="755F54F5">
          <v:rect id="_x0000_i1083" style="width:0;height:1.5pt" o:hralign="center" o:hrstd="t" o:hr="t" fillcolor="#a0a0a0" stroked="f"/>
        </w:pict>
      </w:r>
    </w:p>
    <w:p w14:paraId="660036BE" w14:textId="77777777" w:rsidR="00B81972" w:rsidRPr="00B81972" w:rsidRDefault="00B81972" w:rsidP="00B81972">
      <w:pPr>
        <w:rPr>
          <w:b/>
          <w:bCs/>
        </w:rPr>
      </w:pPr>
      <w:r w:rsidRPr="00B81972">
        <w:rPr>
          <w:rFonts w:ascii="Segoe UI Emoji" w:hAnsi="Segoe UI Emoji" w:cs="Segoe UI Emoji"/>
          <w:b/>
          <w:bCs/>
        </w:rPr>
        <w:t>📁</w:t>
      </w:r>
      <w:r w:rsidRPr="00B81972">
        <w:rPr>
          <w:b/>
          <w:bCs/>
        </w:rPr>
        <w:t xml:space="preserve"> File Contents</w:t>
      </w:r>
    </w:p>
    <w:p w14:paraId="31410851" w14:textId="77777777" w:rsidR="00B81972" w:rsidRPr="00B81972" w:rsidRDefault="00B81972" w:rsidP="00B81972">
      <w:r w:rsidRPr="00B81972">
        <w:rPr>
          <w:rFonts w:ascii="MS Gothic" w:eastAsia="MS Gothic" w:hAnsi="MS Gothic" w:cs="MS Gothic" w:hint="eastAsia"/>
        </w:rPr>
        <w:t>├</w:t>
      </w:r>
      <w:r w:rsidRPr="00B81972">
        <w:rPr>
          <w:rFonts w:ascii="Calibri" w:hAnsi="Calibri" w:cs="Calibri"/>
        </w:rPr>
        <w:t>──</w:t>
      </w:r>
      <w:r w:rsidRPr="00B81972">
        <w:t xml:space="preserve"> Task_1_2.pdf            # Dashboard report overview (visual export)</w:t>
      </w:r>
    </w:p>
    <w:p w14:paraId="26E8D77B" w14:textId="77777777" w:rsidR="00B81972" w:rsidRPr="00B81972" w:rsidRDefault="00B81972" w:rsidP="00B81972">
      <w:r w:rsidRPr="00B81972">
        <w:rPr>
          <w:rFonts w:ascii="MS Gothic" w:eastAsia="MS Gothic" w:hAnsi="MS Gothic" w:cs="MS Gothic" w:hint="eastAsia"/>
        </w:rPr>
        <w:t>├</w:t>
      </w:r>
      <w:r w:rsidRPr="00B81972">
        <w:rPr>
          <w:rFonts w:ascii="Calibri" w:hAnsi="Calibri" w:cs="Calibri"/>
        </w:rPr>
        <w:t>──</w:t>
      </w:r>
      <w:r w:rsidRPr="00B81972">
        <w:t xml:space="preserve"> </w:t>
      </w:r>
      <w:proofErr w:type="spellStart"/>
      <w:r w:rsidRPr="00B81972">
        <w:t>Dashboard.pbix</w:t>
      </w:r>
      <w:proofErr w:type="spellEnd"/>
      <w:r w:rsidRPr="00B81972">
        <w:t xml:space="preserve">          # Power BI dashboard file (not uploaded here)</w:t>
      </w:r>
    </w:p>
    <w:p w14:paraId="4D9F4B2C" w14:textId="77777777" w:rsidR="00B81972" w:rsidRPr="00B81972" w:rsidRDefault="00B81972" w:rsidP="00B81972">
      <w:r w:rsidRPr="00B81972">
        <w:rPr>
          <w:rFonts w:ascii="MS Gothic" w:eastAsia="MS Gothic" w:hAnsi="MS Gothic" w:cs="MS Gothic" w:hint="eastAsia"/>
        </w:rPr>
        <w:t>├</w:t>
      </w:r>
      <w:r w:rsidRPr="00B81972">
        <w:rPr>
          <w:rFonts w:ascii="Calibri" w:hAnsi="Calibri" w:cs="Calibri"/>
        </w:rPr>
        <w:t>──</w:t>
      </w:r>
      <w:r w:rsidRPr="00B81972">
        <w:t xml:space="preserve"> README.md               # GitHub overview and documentation</w:t>
      </w:r>
    </w:p>
    <w:p w14:paraId="7313A761" w14:textId="77777777" w:rsidR="00B81972" w:rsidRPr="00B81972" w:rsidRDefault="00B81972" w:rsidP="00B81972">
      <w:r w:rsidRPr="00B81972">
        <w:rPr>
          <w:rFonts w:ascii="MS Gothic" w:eastAsia="MS Gothic" w:hAnsi="MS Gothic" w:cs="MS Gothic" w:hint="eastAsia"/>
        </w:rPr>
        <w:t>├</w:t>
      </w:r>
      <w:r w:rsidRPr="00B81972">
        <w:rPr>
          <w:rFonts w:ascii="Calibri" w:hAnsi="Calibri" w:cs="Calibri"/>
        </w:rPr>
        <w:t>──</w:t>
      </w:r>
      <w:r w:rsidRPr="00B81972">
        <w:t xml:space="preserve"> Documentation.md        # This file</w:t>
      </w:r>
    </w:p>
    <w:p w14:paraId="5409309E" w14:textId="77777777" w:rsidR="00B81972" w:rsidRPr="00B81972" w:rsidRDefault="00B81972" w:rsidP="00B81972">
      <w:r w:rsidRPr="00B81972">
        <w:pict w14:anchorId="654B1FEE">
          <v:rect id="_x0000_i1084" style="width:0;height:1.5pt" o:hralign="center" o:hrstd="t" o:hr="t" fillcolor="#a0a0a0" stroked="f"/>
        </w:pict>
      </w:r>
    </w:p>
    <w:p w14:paraId="7F9B0B51" w14:textId="77777777" w:rsidR="00B81972" w:rsidRPr="00B81972" w:rsidRDefault="00B81972" w:rsidP="00B81972">
      <w:pPr>
        <w:rPr>
          <w:b/>
          <w:bCs/>
        </w:rPr>
      </w:pPr>
      <w:r w:rsidRPr="00B81972">
        <w:rPr>
          <w:rFonts w:ascii="Segoe UI Emoji" w:hAnsi="Segoe UI Emoji" w:cs="Segoe UI Emoji"/>
          <w:b/>
          <w:bCs/>
        </w:rPr>
        <w:t>📌</w:t>
      </w:r>
      <w:r w:rsidRPr="00B81972">
        <w:rPr>
          <w:b/>
          <w:bCs/>
        </w:rPr>
        <w:t xml:space="preserve"> Use Cases</w:t>
      </w:r>
    </w:p>
    <w:p w14:paraId="7A0E0E2B" w14:textId="77777777" w:rsidR="00B81972" w:rsidRPr="00B81972" w:rsidRDefault="00B81972" w:rsidP="00B81972">
      <w:pPr>
        <w:numPr>
          <w:ilvl w:val="0"/>
          <w:numId w:val="9"/>
        </w:numPr>
      </w:pPr>
      <w:r w:rsidRPr="00B81972">
        <w:rPr>
          <w:b/>
          <w:bCs/>
        </w:rPr>
        <w:t>Credit Risk Profiling</w:t>
      </w:r>
      <w:r w:rsidRPr="00B81972">
        <w:t xml:space="preserve"> – Identify customers with higher risk profiles.</w:t>
      </w:r>
    </w:p>
    <w:p w14:paraId="08428F9F" w14:textId="77777777" w:rsidR="00B81972" w:rsidRPr="00B81972" w:rsidRDefault="00B81972" w:rsidP="00B81972">
      <w:pPr>
        <w:numPr>
          <w:ilvl w:val="0"/>
          <w:numId w:val="9"/>
        </w:numPr>
      </w:pPr>
      <w:r w:rsidRPr="00B81972">
        <w:rPr>
          <w:b/>
          <w:bCs/>
        </w:rPr>
        <w:t>Demographic Targeting</w:t>
      </w:r>
      <w:r w:rsidRPr="00B81972">
        <w:t xml:space="preserve"> – Understand financial </w:t>
      </w:r>
      <w:proofErr w:type="spellStart"/>
      <w:r w:rsidRPr="00B81972">
        <w:t>behavior</w:t>
      </w:r>
      <w:proofErr w:type="spellEnd"/>
      <w:r w:rsidRPr="00B81972">
        <w:t xml:space="preserve"> across age, gender, education, and housing.</w:t>
      </w:r>
    </w:p>
    <w:p w14:paraId="7C8C6DF2" w14:textId="77777777" w:rsidR="00B81972" w:rsidRPr="00B81972" w:rsidRDefault="00B81972" w:rsidP="00B81972">
      <w:pPr>
        <w:numPr>
          <w:ilvl w:val="0"/>
          <w:numId w:val="9"/>
        </w:numPr>
      </w:pPr>
      <w:r w:rsidRPr="00B81972">
        <w:rPr>
          <w:b/>
          <w:bCs/>
        </w:rPr>
        <w:t>Strategic Financial Planning</w:t>
      </w:r>
      <w:r w:rsidRPr="00B81972">
        <w:t xml:space="preserve"> – Optimize regional strategies based on income and education data.</w:t>
      </w:r>
    </w:p>
    <w:p w14:paraId="3262DD0B" w14:textId="77777777" w:rsidR="00B81972" w:rsidRPr="00B81972" w:rsidRDefault="00B81972" w:rsidP="00B81972">
      <w:pPr>
        <w:numPr>
          <w:ilvl w:val="0"/>
          <w:numId w:val="9"/>
        </w:numPr>
      </w:pPr>
      <w:r w:rsidRPr="00B81972">
        <w:rPr>
          <w:b/>
          <w:bCs/>
        </w:rPr>
        <w:t>Operational Decision Making</w:t>
      </w:r>
      <w:r w:rsidRPr="00B81972">
        <w:t xml:space="preserve"> – Use data-driven visuals to support loan approval or intervention strategies.</w:t>
      </w:r>
    </w:p>
    <w:p w14:paraId="15C6B9DA" w14:textId="77777777" w:rsidR="00B81972" w:rsidRPr="00B81972" w:rsidRDefault="00B81972" w:rsidP="00B81972">
      <w:r w:rsidRPr="00B81972">
        <w:pict w14:anchorId="0E14E114">
          <v:rect id="_x0000_i1085" style="width:0;height:1.5pt" o:hralign="center" o:hrstd="t" o:hr="t" fillcolor="#a0a0a0" stroked="f"/>
        </w:pict>
      </w:r>
    </w:p>
    <w:p w14:paraId="03D4A548" w14:textId="77777777" w:rsidR="00B81972" w:rsidRPr="00B81972" w:rsidRDefault="00B81972" w:rsidP="00B81972">
      <w:pPr>
        <w:rPr>
          <w:b/>
          <w:bCs/>
        </w:rPr>
      </w:pPr>
      <w:r w:rsidRPr="00B81972">
        <w:rPr>
          <w:rFonts w:ascii="Segoe UI Emoji" w:hAnsi="Segoe UI Emoji" w:cs="Segoe UI Emoji"/>
          <w:b/>
          <w:bCs/>
        </w:rPr>
        <w:t>🔗</w:t>
      </w:r>
      <w:r w:rsidRPr="00B81972">
        <w:rPr>
          <w:b/>
          <w:bCs/>
        </w:rPr>
        <w:t xml:space="preserve"> Related Links</w:t>
      </w:r>
    </w:p>
    <w:p w14:paraId="0FD580C5" w14:textId="22314060" w:rsidR="00B81972" w:rsidRPr="00B81972" w:rsidRDefault="00B81972" w:rsidP="00B81972">
      <w:pPr>
        <w:numPr>
          <w:ilvl w:val="0"/>
          <w:numId w:val="10"/>
        </w:numPr>
      </w:pPr>
      <w:r w:rsidRPr="00B81972">
        <w:rPr>
          <w:rFonts w:ascii="Segoe UI Emoji" w:hAnsi="Segoe UI Emoji" w:cs="Segoe UI Emoji"/>
        </w:rPr>
        <w:t>🧵</w:t>
      </w:r>
      <w:r w:rsidRPr="00B81972">
        <w:t xml:space="preserve"> </w:t>
      </w:r>
      <w:r w:rsidRPr="00B81972">
        <w:rPr>
          <w:b/>
          <w:bCs/>
        </w:rPr>
        <w:t>LinkedIn Post</w:t>
      </w:r>
      <w:r w:rsidRPr="00B81972">
        <w:t xml:space="preserve">: </w:t>
      </w:r>
      <w:hyperlink r:id="rId5" w:history="1">
        <w:r w:rsidRPr="00B81972">
          <w:rPr>
            <w:rStyle w:val="Hyperlink"/>
          </w:rPr>
          <w:t xml:space="preserve">View the Day 2 </w:t>
        </w:r>
        <w:r>
          <w:rPr>
            <w:rStyle w:val="Hyperlink"/>
          </w:rPr>
          <w:t>Link</w:t>
        </w:r>
        <w:r w:rsidRPr="00B81972">
          <w:rPr>
            <w:rStyle w:val="Hyperlink"/>
          </w:rPr>
          <w:t>edIn Post</w:t>
        </w:r>
      </w:hyperlink>
      <w:r w:rsidRPr="00B81972">
        <w:t xml:space="preserve"> </w:t>
      </w:r>
      <w:r w:rsidRPr="00B81972">
        <w:rPr>
          <w:i/>
          <w:iCs/>
        </w:rPr>
        <w:t>(update after publishing)</w:t>
      </w:r>
    </w:p>
    <w:p w14:paraId="0CB9AF3B" w14:textId="418C9AD4" w:rsidR="00B81972" w:rsidRPr="00B81972" w:rsidRDefault="00B81972" w:rsidP="00B81972">
      <w:pPr>
        <w:numPr>
          <w:ilvl w:val="0"/>
          <w:numId w:val="10"/>
        </w:numPr>
      </w:pPr>
      <w:r w:rsidRPr="00B81972">
        <w:rPr>
          <w:rFonts w:ascii="Segoe UI Emoji" w:hAnsi="Segoe UI Emoji" w:cs="Segoe UI Emoji"/>
        </w:rPr>
        <w:t>💻</w:t>
      </w:r>
      <w:r w:rsidRPr="00B81972">
        <w:t xml:space="preserve"> </w:t>
      </w:r>
      <w:r w:rsidRPr="00B81972">
        <w:rPr>
          <w:b/>
          <w:bCs/>
        </w:rPr>
        <w:t>GitHub Repository</w:t>
      </w:r>
      <w:r w:rsidRPr="00B81972">
        <w:t xml:space="preserve">: </w:t>
      </w:r>
      <w:hyperlink r:id="rId6" w:history="1">
        <w:r w:rsidRPr="00B81972">
          <w:rPr>
            <w:rStyle w:val="Hyperlink"/>
          </w:rPr>
          <w:t>Project Repository</w:t>
        </w:r>
      </w:hyperlink>
      <w:r w:rsidRPr="00B81972">
        <w:t xml:space="preserve"> </w:t>
      </w:r>
      <w:r w:rsidRPr="00B81972">
        <w:rPr>
          <w:i/>
          <w:iCs/>
        </w:rPr>
        <w:t>(update with actual repo)</w:t>
      </w:r>
    </w:p>
    <w:p w14:paraId="4A841D9C" w14:textId="77777777" w:rsidR="00B81972" w:rsidRPr="00B81972" w:rsidRDefault="00B81972" w:rsidP="00B81972">
      <w:r w:rsidRPr="00B81972">
        <w:pict w14:anchorId="520B7A28">
          <v:rect id="_x0000_i1086" style="width:0;height:1.5pt" o:hralign="center" o:hrstd="t" o:hr="t" fillcolor="#a0a0a0" stroked="f"/>
        </w:pict>
      </w:r>
    </w:p>
    <w:p w14:paraId="4970C5D5" w14:textId="77777777" w:rsidR="00B81972" w:rsidRPr="00B81972" w:rsidRDefault="00B81972" w:rsidP="00B81972">
      <w:pPr>
        <w:rPr>
          <w:b/>
          <w:bCs/>
        </w:rPr>
      </w:pPr>
      <w:r w:rsidRPr="00B81972">
        <w:rPr>
          <w:rFonts w:ascii="Segoe UI Emoji" w:hAnsi="Segoe UI Emoji" w:cs="Segoe UI Emoji"/>
          <w:b/>
          <w:bCs/>
        </w:rPr>
        <w:t>📬</w:t>
      </w:r>
      <w:r w:rsidRPr="00B81972">
        <w:rPr>
          <w:b/>
          <w:bCs/>
        </w:rPr>
        <w:t xml:space="preserve"> Contact</w:t>
      </w:r>
    </w:p>
    <w:p w14:paraId="06626642" w14:textId="77777777" w:rsidR="00B81972" w:rsidRPr="00B81972" w:rsidRDefault="00B81972" w:rsidP="00B81972">
      <w:r w:rsidRPr="00B81972">
        <w:t>For questions, collaborations, or feedback:</w:t>
      </w:r>
    </w:p>
    <w:p w14:paraId="07F99858" w14:textId="48705799" w:rsidR="00B81972" w:rsidRPr="00B81972" w:rsidRDefault="00B81972" w:rsidP="00B81972">
      <w:pPr>
        <w:numPr>
          <w:ilvl w:val="0"/>
          <w:numId w:val="11"/>
        </w:numPr>
      </w:pPr>
      <w:r w:rsidRPr="00B81972">
        <w:rPr>
          <w:b/>
          <w:bCs/>
        </w:rPr>
        <w:t>LinkedIn</w:t>
      </w:r>
      <w:r w:rsidRPr="00B81972">
        <w:t xml:space="preserve">: </w:t>
      </w:r>
      <w:hyperlink r:id="rId7" w:history="1">
        <w:r w:rsidRPr="00B81972">
          <w:rPr>
            <w:rStyle w:val="Hyperlink"/>
          </w:rPr>
          <w:t>linkedin.com/in/profile</w:t>
        </w:r>
      </w:hyperlink>
    </w:p>
    <w:p w14:paraId="448FEBB1" w14:textId="77777777" w:rsidR="00D9305F" w:rsidRDefault="00D9305F"/>
    <w:sectPr w:rsidR="00D93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83CC7"/>
    <w:multiLevelType w:val="multilevel"/>
    <w:tmpl w:val="D716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E340E"/>
    <w:multiLevelType w:val="multilevel"/>
    <w:tmpl w:val="5100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14B0F"/>
    <w:multiLevelType w:val="multilevel"/>
    <w:tmpl w:val="99CA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12CB4"/>
    <w:multiLevelType w:val="multilevel"/>
    <w:tmpl w:val="8840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C45F5"/>
    <w:multiLevelType w:val="multilevel"/>
    <w:tmpl w:val="1242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44D76"/>
    <w:multiLevelType w:val="multilevel"/>
    <w:tmpl w:val="FB0A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B7F17"/>
    <w:multiLevelType w:val="multilevel"/>
    <w:tmpl w:val="F3B2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955A4"/>
    <w:multiLevelType w:val="multilevel"/>
    <w:tmpl w:val="61C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43DA2"/>
    <w:multiLevelType w:val="multilevel"/>
    <w:tmpl w:val="63C4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D518E"/>
    <w:multiLevelType w:val="multilevel"/>
    <w:tmpl w:val="1BE6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0B6A44"/>
    <w:multiLevelType w:val="multilevel"/>
    <w:tmpl w:val="F90E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972799">
    <w:abstractNumId w:val="1"/>
  </w:num>
  <w:num w:numId="2" w16cid:durableId="2078937406">
    <w:abstractNumId w:val="10"/>
  </w:num>
  <w:num w:numId="3" w16cid:durableId="753816586">
    <w:abstractNumId w:val="2"/>
  </w:num>
  <w:num w:numId="4" w16cid:durableId="1653945652">
    <w:abstractNumId w:val="6"/>
  </w:num>
  <w:num w:numId="5" w16cid:durableId="786773228">
    <w:abstractNumId w:val="3"/>
  </w:num>
  <w:num w:numId="6" w16cid:durableId="1030454682">
    <w:abstractNumId w:val="8"/>
  </w:num>
  <w:num w:numId="7" w16cid:durableId="589855728">
    <w:abstractNumId w:val="5"/>
  </w:num>
  <w:num w:numId="8" w16cid:durableId="820655502">
    <w:abstractNumId w:val="9"/>
  </w:num>
  <w:num w:numId="9" w16cid:durableId="1745493148">
    <w:abstractNumId w:val="7"/>
  </w:num>
  <w:num w:numId="10" w16cid:durableId="1116413556">
    <w:abstractNumId w:val="4"/>
  </w:num>
  <w:num w:numId="11" w16cid:durableId="125366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72"/>
    <w:rsid w:val="008E4958"/>
    <w:rsid w:val="00B40403"/>
    <w:rsid w:val="00B81972"/>
    <w:rsid w:val="00D9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2066"/>
  <w15:chartTrackingRefBased/>
  <w15:docId w15:val="{F1803FF6-E146-4856-8FDE-0F7A5B62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9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9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9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9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9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9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9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9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9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9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1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utuka-ramanjaneyulu-2128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utukaRamanjaneyulu/Credit_Card_Analysis" TargetMode="External"/><Relationship Id="rId5" Type="http://schemas.openxmlformats.org/officeDocument/2006/relationships/hyperlink" Target="https://www.linkedin.com/posts/putuka-ramanjaneyulu-2128r_power-bi-activity-7331201224106549248-3A_s?utm_source=share&amp;utm_medium=member_desktop&amp;rcm=ACoAAD2ia5EB1oVSVZZwKYH5dxER-gZNWMmZj-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RAMANJANEYULU</dc:creator>
  <cp:keywords/>
  <dc:description/>
  <cp:lastModifiedBy>P RAMANJANEYULU</cp:lastModifiedBy>
  <cp:revision>1</cp:revision>
  <dcterms:created xsi:type="dcterms:W3CDTF">2025-05-22T06:24:00Z</dcterms:created>
  <dcterms:modified xsi:type="dcterms:W3CDTF">2025-05-22T06:28:00Z</dcterms:modified>
</cp:coreProperties>
</file>