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fiscalizaca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01/05/2039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12 de junho de 2025. Nessas ações foram identificados 8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oito (8)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