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01/05/2039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12 de junho de 2025. Nessas ações foram identificados 8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oito (8)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