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04/2026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 de Azevedo Bezerra</w:t>
      </w:r>
    </w:p>
    <w:p>
      <w:pPr>
        <w:spacing w:after="240"/>
        <w:jc w:val="center"/>
      </w:pPr>
      <w:r>
        <w:rPr>
          <w:sz w:val="24"/>
        </w:rPr>
        <w:t>Analista de Regulação, matrícula nº 40672015/01</w:t>
      </w:r>
    </w:p>
    <w:p>
      <w:pPr>
        <w:spacing w:before="240" w:after="240"/>
        <w:jc w:val="center"/>
      </w:pPr>
      <w:r>
        <w:rPr>
          <w:b/>
          <w:sz w:val="24"/>
        </w:rPr>
        <w:t>Abril, 2026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04/2026 - CTR</w:t>
      </w:r>
    </w:p>
    <w:p>
      <w:pPr>
        <w:spacing w:after="0"/>
        <w:jc w:val="center"/>
      </w:pPr>
      <w:r>
        <w:rPr>
          <w:b/>
          <w:sz w:val="24"/>
        </w:rPr>
        <w:t>SEI Nº xxxxxxxxxxxx/2026-XX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2026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20 de abril de 2026,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 de Azevedo Bezerra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2026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2026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 de Azevedo Bezerra</w:t>
      </w:r>
      <w:r>
        <w:rPr>
          <w:rFonts w:ascii="Aptos" w:hAnsi="Aptos"/>
          <w:sz w:val="22"/>
        </w:rPr>
        <w:t>, matrícula nº 40672015/01</w:t>
      </w:r>
      <w:r>
        <w:rPr>
          <w:rFonts w:ascii="Aptos" w:hAnsi="Aptos"/>
          <w:sz w:val="22"/>
        </w:rPr>
        <w:t xml:space="preserve"> nos dias 20 de abril de 2026. Nessas ações foram identificados 1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abril/2026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CRA.001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Fissuras (FI)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01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Det</w:t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um (1)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2026, solicita-se a inclusão destas não conformidades no cronograma detalhado de Conserva Especial do Pavimento que permita à Arpe uma realização mais efetiva dos monitoramentos ao longo de 2026.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Complexo Viário e Logístico de SUAPE,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01 – Obs, (20/04/2026).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 de Azevedo Bezerra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40672015/01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