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="276" w:lineRule="auto"/>
        <w:jc w:val="center"/>
      </w:pPr>
    </w:p>
    <w:p>
      <w:pPr>
        <w:spacing w:after="120" w:before="0" w:line="276" w:lineRule="auto"/>
        <w:jc w:val="center"/>
      </w:pPr>
    </w:p>
    <w:p>
      <w:pPr>
        <w:spacing w:after="80" w:before="0" w:line="276" w:lineRule="auto"/>
        <w:jc w:val="center"/>
      </w:pPr>
      <w:r>
        <w:rPr>
          <w:rFonts w:ascii="Aptos" w:hAnsi="Aptos"/>
          <w:b/>
          <w:sz w:val="24"/>
        </w:rPr>
        <w:t>COORDENADORIA DE TRANSPORTES E RODOVIAS</w:t>
      </w:r>
    </w:p>
    <w:p>
      <w:pPr>
        <w:spacing w:after="80" w:before="0" w:line="276" w:lineRule="auto"/>
        <w:jc w:val="center"/>
      </w:pPr>
      <w:r>
        <w:rPr>
          <w:rFonts w:ascii="Aptos" w:hAnsi="Aptos"/>
          <w:b/>
          <w:sz w:val="24"/>
        </w:rPr>
        <w:t>RELATÓRIO DO Xº MONITORAMENTO DO PROCESSO</w:t>
      </w:r>
    </w:p>
    <w:p>
      <w:pPr>
        <w:spacing w:after="240" w:before="0" w:line="276" w:lineRule="auto"/>
        <w:jc w:val="center"/>
      </w:pPr>
      <w:r>
        <w:rPr>
          <w:rFonts w:ascii="Aptos" w:hAnsi="Aptos"/>
          <w:b/>
          <w:sz w:val="24"/>
        </w:rPr>
        <w:t>DE FISCALIZAÇÃO TÉCNICO-OPERACIONAL CTR Nº XX/XXXX</w:t>
      </w:r>
    </w:p>
    <w:p>
      <w:pPr>
        <w:spacing w:after="240" w:before="240"/>
        <w:jc w:val="center"/>
      </w:pPr>
      <w:r>
        <w:drawing>
          <wp:inline xmlns:a="http://schemas.openxmlformats.org/drawingml/2006/main" xmlns:pic="http://schemas.openxmlformats.org/drawingml/2006/picture">
            <wp:extent cx="5394960" cy="45602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a_monitorament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560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276" w:lineRule="auto"/>
        <w:jc w:val="center"/>
      </w:pPr>
      <w:r>
        <w:rPr>
          <w:rFonts w:ascii="Aptos" w:hAnsi="Aptos"/>
          <w:b/>
          <w:sz w:val="22"/>
        </w:rPr>
        <w:t>VISTORIA TÉCNICA SOBRE AS NÃO CONFORMIDADES APONTADAS NO RELATÓRIO DE FISCALIZAÇÃO TÉCNICO-OPERACIONAL CTR XX/XXXX.</w:t>
      </w:r>
    </w:p>
    <w:p>
      <w:pPr>
        <w:spacing w:after="120" w:before="0" w:line="276" w:lineRule="auto"/>
        <w:jc w:val="center"/>
      </w:pPr>
    </w:p>
    <w:p>
      <w:pPr>
        <w:spacing w:after="80" w:before="0" w:line="276" w:lineRule="auto"/>
        <w:jc w:val="center"/>
      </w:pPr>
      <w:r>
        <w:rPr>
          <w:rFonts w:ascii="Aptos" w:hAnsi="Aptos"/>
          <w:b/>
          <w:sz w:val="22"/>
        </w:rPr>
        <w:t>CONTRATO DE CONCESSÃO PATROCINADA – CGPE Nº 001/2006</w:t>
      </w:r>
    </w:p>
    <w:p>
      <w:pPr>
        <w:spacing w:after="80" w:before="0" w:line="276" w:lineRule="auto"/>
        <w:jc w:val="center"/>
      </w:pPr>
      <w:r>
        <w:rPr>
          <w:rFonts w:ascii="Aptos" w:hAnsi="Aptos"/>
          <w:b/>
          <w:sz w:val="22"/>
        </w:rPr>
        <w:t>EXPLORAÇÃO DA PONTE DE ACESSO E SISTEMA VIÁRIO</w:t>
      </w:r>
    </w:p>
    <w:p>
      <w:pPr>
        <w:spacing w:after="120" w:before="0" w:line="276" w:lineRule="auto"/>
        <w:jc w:val="center"/>
      </w:pPr>
      <w:r>
        <w:rPr>
          <w:rFonts w:ascii="Aptos" w:hAnsi="Aptos"/>
          <w:b/>
          <w:sz w:val="22"/>
        </w:rPr>
        <w:t>DO DESTINO DE TURISMO E LAZER PRAIA DO PAIVA</w:t>
      </w:r>
    </w:p>
    <w:p>
      <w:pPr>
        <w:spacing w:after="120" w:before="0" w:line="276" w:lineRule="auto"/>
        <w:jc w:val="center"/>
      </w:pPr>
    </w:p>
    <w:p>
      <w:pPr>
        <w:spacing w:after="120" w:before="0" w:line="276" w:lineRule="auto"/>
        <w:jc w:val="center"/>
      </w:pPr>
      <w:r>
        <w:rPr>
          <w:rFonts w:ascii="Aptos" w:hAnsi="Aptos"/>
          <w:b/>
          <w:sz w:val="22"/>
        </w:rPr>
        <w:t>PROCESSO SEI Nº 0030200023.004570/2025-45</w:t>
      </w:r>
    </w:p>
    <w:p>
      <w:pPr>
        <w:spacing w:after="120" w:before="0" w:line="276" w:lineRule="auto"/>
        <w:jc w:val="center"/>
      </w:pPr>
    </w:p>
    <w:p>
      <w:pPr>
        <w:spacing w:after="0" w:before="0" w:line="276" w:lineRule="auto"/>
        <w:jc w:val="center"/>
      </w:pPr>
      <w:r>
        <w:rPr>
          <w:rFonts w:ascii="Aptos" w:hAnsi="Aptos"/>
          <w:b w:val="0"/>
          <w:sz w:val="22"/>
        </w:rPr>
        <w:t>Recife, data da assinatura eletrônica</w:t>
      </w:r>
    </w:p>
    <w:p>
      <w:r>
        <w:br w:type="page"/>
      </w:r>
    </w:p>
    <w:p>
      <w:pPr>
        <w:spacing w:before="240" w:after="480"/>
        <w:jc w:val="center"/>
      </w:pPr>
      <w:r>
        <w:rPr>
          <w:rFonts w:ascii="Aptos" w:hAnsi="Aptos"/>
          <w:b/>
          <w:sz w:val="28"/>
        </w:rPr>
        <w:t>SUMÁRIO</w:t>
      </w:r>
    </w:p>
    <w:sdt>
      <w:sdtPr>
        <w:id w:val="914752099"/>
        <w:docPartObj>
          <w:docPartGallery w:val="Table of Contents"/>
          <w:docPartUnique/>
        </w:docPartObj>
      </w:sdtPr>
      <w:sdtEndPr>
        <w:rPr>
          <w:rFonts w:ascii="Aptos" w:hAnsi="Aptos"/>
          <w:b/>
          <w:bCs/>
        </w:rPr>
      </w:sdtEndPr>
      <w:sdtContent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r>
            <w:rPr>
              <w:rFonts w:ascii="Aptos" w:hAnsi="Aptos"/>
            </w:rPr>
            <w:fldChar w:fldCharType="begin"/>
          </w:r>
          <w:r>
            <w:rPr>
              <w:rFonts w:ascii="Aptos" w:hAnsi="Aptos"/>
            </w:rPr>
            <w:instrText xml:space="preserve"> TOC \o "1-3" \h \z \u </w:instrText>
          </w:r>
          <w:r>
            <w:rPr>
              <w:rFonts w:ascii="Aptos" w:hAnsi="Aptos"/>
            </w:rPr>
            <w:fldChar w:fldCharType="separate"/>
          </w:r>
          <w:hyperlink w:history="1">
            <w:r>
              <w:rPr>
                <w:rFonts w:ascii="Aptos" w:hAnsi="Aptos"/>
                <w:b/>
                <w:sz w:val="22"/>
              </w:rPr>
              <w:t>1.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INTRODUÇÃO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4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2.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OBJETIVO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4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3.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RESULTADOS DAS VISTORIAS DAS NÃO CONFORMIDADES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5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4.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RESUMO DA SITUAÇÃO DAS NÃO CONFORMIDADES MONITORADAS (JUNHO, 2026)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8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5.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CONCLUSÕES E RECOMENDAÇÕES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9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APÊNDÍCE ÚNCO - MEMORIAL FOTOGRÁFICO - JUNHO, 2026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10</w:t>
            </w:r>
          </w:hyperlink>
        </w:p>
        <w:p>
          <w:r>
            <w:rPr>
              <w:rFonts w:ascii="Aptos" w:hAnsi="Aptos"/>
              <w:b/>
            </w:rPr>
            <w:fldChar w:fldCharType="end"/>
          </w:r>
        </w:p>
      </w:sdtContent>
    </w:sdt>
    <w:p>
      <w:pPr>
        <w:sectPr>
          <w:pgSz w:w="11909" w:h="16834"/>
          <w:pgMar w:top="720" w:right="720" w:bottom="720" w:left="720" w:header="720" w:footer="720" w:gutter="0"/>
          <w:cols w:space="720"/>
          <w:docGrid w:linePitch="360"/>
        </w:sectPr>
      </w:pPr>
    </w:p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1. INTRODUÇÃO</w:t>
      </w:r>
    </w:p>
    <w:p/>
    <w:p>
      <w:pPr>
        <w:spacing w:after="120" w:line="276" w:lineRule="auto"/>
        <w:jc w:val="both"/>
      </w:pPr>
      <w:r>
        <w:rPr>
          <w:rFonts w:ascii="Aptos" w:hAnsi="Aptos"/>
          <w:b w:val="0"/>
          <w:sz w:val="22"/>
        </w:rPr>
        <w:t>Registra-se, preliminarmente, que na última vistoria técnica de monitoramento das Não Conformidades apontadas no Relatório de Fiscalização Técnico-Operacional CTR XX/XXXX, realizada na Rodovia Rota dos Coqueiros em XX/XX/XXXX, verificou-se que X Não Conformidades restavam pendentes. Assim, o Relatório do Xº Monitoramento (Doc. SEI nº XXXXXXXX) foi encaminhado à Concessionária Rota dos Coqueiros (CRC) pelo Ofício Arpe DTO nº xxx/xxxx, de xx/xx/xxxx, reforçando a recomendação para que a Concessionária mantenha a ARPE informada sobre as tratativas referentes às não conformidades pendentes.</w:t>
      </w:r>
    </w:p>
    <w:p>
      <w:pPr>
        <w:spacing w:after="120" w:line="276" w:lineRule="auto"/>
        <w:jc w:val="both"/>
      </w:pPr>
      <w:r>
        <w:rPr>
          <w:rFonts w:ascii="Aptos" w:hAnsi="Aptos"/>
          <w:b w:val="0"/>
          <w:sz w:val="22"/>
        </w:rPr>
        <w:t>Em sequência, a Concessionária, por meio da Carta CRC/REG nº xxxx/xxxx, de xx/xx/xxxx (Doc. SEI nº xxxxxxxx), enviou sua manifestação informando as ações tomadas referentes às Não Conformidades pendentes.</w:t>
      </w:r>
    </w:p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2. OBJETIVO</w:t>
      </w:r>
    </w:p>
    <w:p/>
    <w:p>
      <w:pPr>
        <w:spacing w:after="120" w:line="276" w:lineRule="auto"/>
        <w:jc w:val="both"/>
      </w:pPr>
      <w:r>
        <w:rPr>
          <w:rFonts w:ascii="Aptos" w:hAnsi="Aptos"/>
          <w:b w:val="0"/>
          <w:sz w:val="22"/>
        </w:rPr>
        <w:t>Este Xº Relatório de Monitoramento da ARPE tem como objetivo informar sobre o acompanhamento das ações da CRC referentes às Não Conformidades pendentes do Relatório de Fiscalização Técnico-Operacional ARPE/CTR XX/XXXX, de 27/05/2025, conforme as vistorias técnicas realizadas em 15 de junho de 2026, considerando também o posicionamento da Concessionária encaminhado à ARPE por meio da referida Carta CRC/REG nº xxxx/xxxx.</w:t>
      </w:r>
    </w:p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3. RESULTADOS DAS VISTORIAS DAS NÃO CONFORMIDADES</w:t>
      </w:r>
    </w:p>
    <w:p/>
    <w:p>
      <w:pPr>
        <w:spacing w:after="120" w:line="276" w:lineRule="auto"/>
        <w:jc w:val="both"/>
      </w:pPr>
      <w:r>
        <w:rPr>
          <w:rFonts w:ascii="Aptos" w:hAnsi="Aptos"/>
          <w:b w:val="0"/>
          <w:sz w:val="22"/>
        </w:rPr>
        <w:t>Apresentam-se os resultados das vistorias técnicas realizadas em 15 de junho de 2026 na Rodovia Estadual PE-024 referentes às Não Conformidades (NC) registradas no Relatório de Fiscalização Técnico-Operacional ARPE/CTR nº XX/XXXX, organizadas em subitens pelo sentido da pista, associadas a cada Segmento Homogêneo (SH) com indicação do ponto fiscalizado (KM).</w:t>
      </w:r>
    </w:p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3.1 RODOVIA ESTADUAL PE – 024 - PISTA ÚNICA</w:t>
      </w:r>
    </w:p>
    <w:p/>
    <w:p>
      <w:pPr>
        <w:spacing w:after="120" w:line="276" w:lineRule="auto"/>
        <w:jc w:val="both"/>
      </w:pPr>
      <w:r>
        <w:rPr>
          <w:rFonts w:ascii="Aptos" w:hAnsi="Aptos"/>
          <w:b/>
          <w:sz w:val="22"/>
        </w:rPr>
        <w:t>NC.001</w:t>
      </w:r>
    </w:p>
    <w:p>
      <w:pPr>
        <w:spacing w:after="80" w:line="276" w:lineRule="auto"/>
        <w:jc w:val="both"/>
      </w:pPr>
      <w:r>
        <w:rPr>
          <w:rFonts w:ascii="Aptos" w:hAnsi="Aptos"/>
          <w:b/>
          <w:sz w:val="22"/>
        </w:rPr>
        <w:t xml:space="preserve">NÃO CONFORMIDADE: </w:t>
      </w:r>
      <w:r>
        <w:rPr>
          <w:rFonts w:ascii="Aptos" w:hAnsi="Aptos"/>
          <w:sz w:val="22"/>
        </w:rPr>
        <w:t>Desgaste</w:t>
      </w:r>
    </w:p>
    <w:p>
      <w:pPr>
        <w:spacing w:after="80" w:line="276" w:lineRule="auto"/>
        <w:jc w:val="both"/>
      </w:pPr>
      <w:r>
        <w:rPr>
          <w:rFonts w:ascii="Aptos" w:hAnsi="Aptos"/>
          <w:b/>
          <w:sz w:val="22"/>
        </w:rPr>
        <w:t xml:space="preserve">POSICIONAMENTO DA CRC: </w:t>
      </w:r>
      <w:r>
        <w:rPr>
          <w:rFonts w:ascii="Aptos" w:hAnsi="Aptos"/>
          <w:sz w:val="22"/>
        </w:rPr>
        <w:t>Reparar</w:t>
      </w:r>
    </w:p>
    <w:p>
      <w:pPr>
        <w:spacing w:after="80" w:line="276" w:lineRule="auto"/>
        <w:jc w:val="both"/>
      </w:pPr>
      <w:r>
        <w:rPr>
          <w:rFonts w:ascii="Aptos" w:hAnsi="Aptos"/>
          <w:b/>
          <w:sz w:val="22"/>
        </w:rPr>
        <w:t xml:space="preserve">CONSTATAÇÃO: </w:t>
      </w:r>
      <w:r>
        <w:rPr>
          <w:rFonts w:ascii="Aptos" w:hAnsi="Aptos"/>
          <w:sz w:val="22"/>
        </w:rPr>
        <w:t>A ser preenchido.</w:t>
      </w:r>
    </w:p>
    <w:p>
      <w:pPr>
        <w:spacing w:after="80" w:line="276" w:lineRule="auto"/>
        <w:jc w:val="both"/>
      </w:pPr>
      <w:r>
        <w:rPr>
          <w:rFonts w:ascii="Aptos" w:hAnsi="Aptos"/>
          <w:b/>
          <w:sz w:val="22"/>
        </w:rPr>
        <w:t xml:space="preserve">ANÁLISE ARPE: </w:t>
      </w:r>
      <w:r>
        <w:rPr>
          <w:rFonts w:ascii="Aptos" w:hAnsi="Aptos"/>
          <w:sz w:val="22"/>
        </w:rPr>
        <w:t>A ser preenchido.</w:t>
      </w:r>
    </w:p>
    <w:p/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4. RESUMO DA SITUAÇÃO DAS NÃO CONFORMIDADES MONITORADAS (JUNHO, 2026)</w:t>
      </w:r>
    </w:p>
    <w:p/>
    <w:p>
      <w:pPr>
        <w:spacing w:after="120" w:line="276" w:lineRule="auto"/>
        <w:jc w:val="both"/>
      </w:pPr>
      <w:r>
        <w:rPr>
          <w:rFonts w:ascii="Aptos" w:hAnsi="Aptos"/>
          <w:b w:val="0"/>
          <w:sz w:val="22"/>
        </w:rPr>
        <w:t>Apresenta-se no Quadro 1, a seguir, um resumo da situação das Não Conformidades pendentes do Relatório ARPE/CTR nº XX/XXXX, de acordo com as vistorias técnicas realizadas em 15/06/2026, dando continuidade ao monitoramento das respectivas soluções.</w:t>
      </w:r>
    </w:p>
    <w:p>
      <w:pPr>
        <w:spacing w:after="120"/>
        <w:jc w:val="center"/>
      </w:pPr>
      <w:r>
        <w:rPr>
          <w:rFonts w:ascii="Aptos" w:hAnsi="Aptos"/>
          <w:b/>
          <w:sz w:val="22"/>
        </w:rPr>
        <w:t>QUADRO 1</w:t>
      </w:r>
      <w:r>
        <w:rPr>
          <w:rFonts w:ascii="Aptos" w:hAnsi="Aptos"/>
          <w:b/>
          <w:sz w:val="22"/>
        </w:rPr>
        <w:t xml:space="preserve"> – Situação das Não Conformidades Relatório ARPE/CTR Nº XX/XXXX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20" w:space="0" w:color="000000"/>
          <w:left w:val="single" w:sz="20" w:space="0" w:color="000000"/>
          <w:bottom w:val="single" w:sz="20" w:space="0" w:color="000000"/>
          <w:right w:val="single" w:sz="20" w:space="0" w:color="000000"/>
          <w:insideH w:val="single" w:sz="20" w:space="0" w:color="000000"/>
          <w:insideV w:val="single" w:sz="20" w:space="0" w:color="000000"/>
        </w:tblBorders>
      </w:tblPr>
      <w:tblGrid>
        <w:gridCol w:w="3490"/>
        <w:gridCol w:w="3490"/>
        <w:gridCol w:w="3490"/>
      </w:tblGrid>
      <w:tr>
        <w:tc>
          <w:tcPr>
            <w:tcW w:type="dxa" w:w="1656"/>
            <w:shd w:val="clear" w:color="auto" w:fill="BFBFB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20"/>
              </w:rPr>
              <w:t>ID.NC(*)</w:t>
            </w:r>
          </w:p>
        </w:tc>
        <w:tc>
          <w:tcPr>
            <w:tcW w:type="dxa" w:w="5184"/>
            <w:shd w:val="clear" w:color="auto" w:fill="BFBFB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20"/>
              </w:rPr>
              <w:t>CONSTATAÇÃO (27/05/2025)</w:t>
            </w:r>
          </w:p>
        </w:tc>
        <w:tc>
          <w:tcPr>
            <w:tcW w:type="dxa" w:w="1526"/>
            <w:shd w:val="clear" w:color="auto" w:fill="BFBFB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20"/>
              </w:rPr>
              <w:t>SITUAÇÃO 15/06/2026</w:t>
            </w:r>
          </w:p>
        </w:tc>
      </w:tr>
      <w:tr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sz w:val="20"/>
              </w:rPr>
              <w:t>NC.001</w:t>
            </w:r>
          </w:p>
        </w:tc>
        <w:tc>
          <w:tcPr>
            <w:tcW w:type="dxa" w:w="518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sz w:val="20"/>
              </w:rPr>
              <w:t>Desgaste</w:t>
            </w:r>
          </w:p>
        </w:tc>
        <w:tc>
          <w:tcPr>
            <w:tcW w:type="dxa" w:w="152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sz w:val="20"/>
              </w:rPr>
              <w:t>Pendente</w:t>
            </w:r>
          </w:p>
        </w:tc>
      </w:tr>
    </w:tbl>
    <w:p/>
    <w:p>
      <w:pPr>
        <w:spacing w:before="80" w:after="120" w:line="276" w:lineRule="auto"/>
        <w:jc w:val="both"/>
      </w:pPr>
      <w:r>
        <w:rPr>
          <w:rFonts w:ascii="Aptos" w:hAnsi="Aptos"/>
          <w:i/>
          <w:sz w:val="20"/>
        </w:rPr>
        <w:t>(*) ID. NC: Identificação da Não Conformidade, composta com o Segmento Homogêneo (SH) e a quilometragem do ponto fiscalizado (KM).</w:t>
      </w:r>
    </w:p>
    <w:p/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5. CONCLUSÕES E RECOMENDAÇÕES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As vistorias técnicas, realizadas em 15 de junho de 2026, bem como das análises apresentadas neste Xº Relatório de Monitoramento do Relatório de Fiscalização Técnico-Operacional ARPE/CTR nº XX/XXXX, indicam que permanece uma Não Conformidade ainda sem solução definitiva.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Recomenda-se que a Concessionária mantenha a ARPE informada sobre as interações com a Associação Geral da Reserva do Paiva para evitar definitivamente a presença de detritos no trecho concedido.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Diante desse resultado, considera-se necessário que a ARPE continue realizando vistorias até que a Concessionária efetive a execução dos serviços para correção da Não Conformidade identificada.</w:t>
      </w:r>
    </w:p>
    <w:p/>
    <w:p>
      <w:pPr>
        <w:spacing w:before="240" w:after="480"/>
        <w:jc w:val="center"/>
      </w:pPr>
      <w:r>
        <w:rPr>
          <w:rFonts w:ascii="Aptos" w:hAnsi="Aptos"/>
          <w:sz w:val="22"/>
        </w:rPr>
        <w:t>Recife, data da assinatura eletrônica.</w:t>
      </w:r>
    </w:p>
    <w:p/>
    <w:p>
      <w:pPr>
        <w:spacing w:after="0"/>
        <w:jc w:val="center"/>
      </w:pPr>
      <w:r>
        <w:rPr>
          <w:rFonts w:ascii="Aptos" w:hAnsi="Aptos"/>
          <w:b/>
          <w:sz w:val="22"/>
        </w:rPr>
        <w:t>Alcides Vieira de Azevedo Bezerra</w:t>
      </w:r>
    </w:p>
    <w:p>
      <w:pPr>
        <w:spacing w:after="0"/>
        <w:jc w:val="center"/>
      </w:pPr>
      <w:r>
        <w:rPr>
          <w:rFonts w:ascii="Aptos" w:hAnsi="Aptos"/>
          <w:sz w:val="22"/>
        </w:rPr>
        <w:t>Analista de Regulação</w:t>
      </w:r>
    </w:p>
    <w:p>
      <w:pPr>
        <w:spacing w:after="240"/>
        <w:jc w:val="center"/>
      </w:pPr>
      <w:r>
        <w:rPr>
          <w:rFonts w:ascii="Aptos" w:hAnsi="Aptos"/>
          <w:sz w:val="22"/>
        </w:rPr>
        <w:t>Matrícula nº 40672015/01</w:t>
      </w:r>
    </w:p>
    <w:p/>
    <w:p>
      <w:pPr>
        <w:spacing w:after="0"/>
        <w:jc w:val="center"/>
      </w:pPr>
      <w:r>
        <w:rPr>
          <w:rFonts w:ascii="Aptos" w:hAnsi="Aptos"/>
          <w:b/>
          <w:sz w:val="22"/>
        </w:rPr>
        <w:t>Enildo Manoel da Silva Júnior</w:t>
      </w:r>
    </w:p>
    <w:p>
      <w:pPr>
        <w:spacing w:after="0"/>
        <w:jc w:val="center"/>
      </w:pPr>
      <w:r>
        <w:rPr>
          <w:rFonts w:ascii="Aptos" w:hAnsi="Aptos"/>
          <w:sz w:val="22"/>
        </w:rPr>
        <w:t>Analista de Regulação</w:t>
      </w:r>
    </w:p>
    <w:p>
      <w:pPr>
        <w:spacing w:after="240"/>
        <w:jc w:val="center"/>
      </w:pPr>
      <w:r>
        <w:rPr>
          <w:rFonts w:ascii="Aptos" w:hAnsi="Aptos"/>
          <w:sz w:val="22"/>
        </w:rPr>
        <w:t>Matrícula nº 1796500/02</w:t>
      </w:r>
    </w:p>
    <w:p/>
    <w:p>
      <w:pPr>
        <w:spacing w:before="720" w:after="720"/>
        <w:jc w:val="center"/>
      </w:pPr>
      <w:r>
        <w:rPr>
          <w:rFonts w:ascii="Aptos" w:hAnsi="Aptos"/>
          <w:sz w:val="22"/>
        </w:rPr>
        <w:t>Ciente e de acordo.</w:t>
      </w:r>
    </w:p>
    <w:p>
      <w:pPr>
        <w:spacing w:after="0"/>
        <w:jc w:val="center"/>
      </w:pPr>
      <w:r>
        <w:rPr>
          <w:rFonts w:ascii="Aptos" w:hAnsi="Aptos"/>
          <w:b/>
          <w:sz w:val="22"/>
        </w:rPr>
        <w:t>Maria Ângela Albuquerque de Freitas</w:t>
      </w:r>
    </w:p>
    <w:p>
      <w:pPr>
        <w:spacing w:after="0"/>
        <w:jc w:val="center"/>
      </w:pPr>
      <w:r>
        <w:rPr>
          <w:rFonts w:ascii="Aptos" w:hAnsi="Aptos"/>
          <w:sz w:val="22"/>
        </w:rPr>
        <w:t>Coordenadora de Transportes e Rodovias</w:t>
      </w:r>
    </w:p>
    <w:p>
      <w:pPr>
        <w:spacing w:after="240"/>
        <w:jc w:val="center"/>
      </w:pPr>
      <w:r>
        <w:rPr>
          <w:rFonts w:ascii="Aptos" w:hAnsi="Aptos"/>
          <w:sz w:val="22"/>
        </w:rPr>
        <w:t>Matrícula nº 209640/01</w:t>
      </w:r>
    </w:p>
    <w:p>
      <w:pPr>
        <w:pStyle w:val="Heading3"/>
        <w:pageBreakBefore/>
        <w:spacing w:before="160" w:after="80"/>
      </w:pPr>
      <w:r>
        <w:rPr>
          <w:rFonts w:ascii="Aptos" w:hAnsi="Aptos"/>
          <w:b/>
          <w:color w:val="000000"/>
          <w:sz w:val="24"/>
        </w:rPr>
        <w:t>APÊNDÍCE ÚNCO - MEMORIAL FOTOGRÁFICO - JUNHO, 2026</w:t>
      </w:r>
    </w:p>
    <w:p>
      <w:pPr>
        <w:spacing w:before="120" w:after="240" w:line="276" w:lineRule="auto"/>
        <w:jc w:val="both"/>
      </w:pPr>
      <w:r>
        <w:rPr>
          <w:rFonts w:ascii="Aptos" w:hAnsi="Aptos"/>
          <w:sz w:val="22"/>
        </w:rPr>
        <w:t>Apresenta-se, a seguir, as evidências da situação das Não Conformidades, de acordo com o sentido da pista e as identificações utilizadas neste Xº Relatório de Monitoramento do Processo de Fiscalização Técnico-Operacional nº XX/XXXX (foto 01).</w:t>
      </w:r>
    </w:p>
    <w:sectPr w:rsidR="00FC693F" w:rsidRPr="0006063C" w:rsidSect="00034616">
      <w:pgSz w:w="11909" w:h="16834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