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469"/>
      </w:tblGrid>
      <w:tr>
        <w:trPr>
          <w:trHeight w:val="567"/>
        </w:trPr>
        <w:tc>
          <w:tcPr>
            <w:tcW w:type="dxa" w:w="10469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b/>
              </w:rPr>
              <w:t>RELATÓRIO DE FISCALIZAÇÃO PROCESSO ADMINISTRATIVO CTR Nº 01/2025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019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2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1955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07/2025 -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b/>
          <w:sz w:val="28"/>
        </w:rPr>
        <w:t>SUMÁRIO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1.</w:t>
      </w:r>
      <w:r>
        <w:tab/>
      </w:r>
      <w:r>
        <w:rPr>
          <w:rFonts w:ascii="Aptos" w:hAnsi="Aptos"/>
          <w:b/>
          <w:sz w:val="22"/>
        </w:rPr>
        <w:t>INTRODUÇÃO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2.</w:t>
      </w:r>
      <w:r>
        <w:tab/>
      </w:r>
      <w:r>
        <w:rPr>
          <w:rFonts w:ascii="Aptos" w:hAnsi="Aptos"/>
          <w:b/>
          <w:sz w:val="22"/>
        </w:rPr>
        <w:t>OBJETIVO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3.</w:t>
      </w:r>
      <w:r>
        <w:tab/>
      </w:r>
      <w:r>
        <w:rPr>
          <w:rFonts w:ascii="Aptos" w:hAnsi="Aptos"/>
          <w:b/>
          <w:sz w:val="22"/>
        </w:rPr>
        <w:t>METODOLOGIA</w:t>
      </w:r>
      <w:r>
        <w:rPr>
          <w:rFonts w:ascii="Aptos" w:hAnsi="Aptos"/>
          <w:b/>
          <w:sz w:val="22"/>
        </w:rPr>
        <w:tab/>
        <w:t>5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4.</w:t>
      </w:r>
      <w:r>
        <w:tab/>
      </w:r>
      <w:r>
        <w:rPr>
          <w:rFonts w:ascii="Aptos" w:hAnsi="Aptos"/>
          <w:b/>
          <w:sz w:val="22"/>
        </w:rPr>
        <w:t>FISCALIZAÇÃO</w:t>
      </w:r>
      <w:r>
        <w:rPr>
          <w:rFonts w:ascii="Aptos" w:hAnsi="Aptos"/>
          <w:b/>
          <w:sz w:val="22"/>
        </w:rPr>
        <w:tab/>
        <w:t>7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5.</w:t>
      </w:r>
      <w:r>
        <w:tab/>
      </w:r>
      <w:r>
        <w:rPr>
          <w:rFonts w:ascii="Aptos" w:hAnsi="Aptos"/>
          <w:b/>
          <w:sz w:val="22"/>
        </w:rPr>
        <w:t>DETERMINAÇÕES GERAIS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6.</w:t>
      </w:r>
      <w:r>
        <w:tab/>
      </w:r>
      <w:r>
        <w:rPr>
          <w:rFonts w:ascii="Aptos" w:hAnsi="Aptos"/>
          <w:b/>
          <w:sz w:val="22"/>
        </w:rPr>
        <w:t>RECOMENDAÇÕES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7.</w:t>
      </w:r>
      <w:r>
        <w:tab/>
      </w:r>
      <w:r>
        <w:rPr>
          <w:rFonts w:ascii="Aptos" w:hAnsi="Aptos"/>
          <w:b/>
          <w:sz w:val="22"/>
        </w:rPr>
        <w:t>CONCLUSÕES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469" w:val="right" w:leader="dot"/>
        </w:tabs>
        <w:spacing w:after="120"/>
      </w:pPr>
      <w:r>
        <w:tab/>
      </w:r>
      <w:r>
        <w:rPr>
          <w:rFonts w:ascii="Aptos" w:hAnsi="Aptos"/>
          <w:b/>
          <w:sz w:val="22"/>
        </w:rPr>
        <w:t>APÊNDICE ÚNICO  – REGISTROS FOTOGRÁFICOS DAS NÃO CONFORMIDADES</w:t>
      </w:r>
      <w:r>
        <w:rPr>
          <w:rFonts w:ascii="Aptos" w:hAnsi="Aptos"/>
          <w:b/>
          <w:sz w:val="22"/>
        </w:rPr>
        <w:tab/>
        <w:t>12</w:t>
      </w:r>
    </w:p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spacing w:before="240" w:after="240"/>
        <w:jc w:val="both"/>
      </w:pPr>
      <w:r>
        <w:rPr>
          <w:rFonts w:ascii="Aptos" w:hAnsi="Aptos"/>
          <w:b/>
          <w:sz w:val="24"/>
        </w:rPr>
        <w:t>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01/05/2039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12 de junho de 2025. Nessas ações foram identificados 8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 e Quadro 2,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Quadro 1 – Aplicação dos Critérios de Elegibilidade Relativos ao Pavimento PE009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Quadro 2 – Aplicação dos Critérios de Elegibilidade Relativos ao Pavimento VPE034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Visando garantir um pavimento de qualidade com a trafegabilidade e segurança viária para os usuários sugere-se que os Pontos de Atenção registrados no Quadro 3 sejam, tratados pela concessionaria. A seguir, estão associados aos respectivos subtrechos, possuem índices de Índice de Gravidade Global (IGG) e/ou Índice de Irregularidade Longitudinal (IRI) que não ultrapassaram o limite máximos previstos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Quadro 3 – Trecho dos pontos de Atenção: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O Quadro 4, a seguir, resume as Não Conformidades constatadas, relacionadas ao PDCL, com indicação dos respectivos registros fotográficos no </w:t>
      </w:r>
      <w:r>
        <w:rPr>
          <w:rFonts w:ascii="Aptos" w:hAnsi="Aptos"/>
          <w:b/>
          <w:sz w:val="22"/>
        </w:rPr>
        <w:t>Apêndice A</w:t>
      </w:r>
      <w:r>
        <w:rPr>
          <w:rFonts w:ascii="Aptos" w:hAnsi="Aptos"/>
          <w:sz w:val="22"/>
        </w:rPr>
        <w:t xml:space="preserve"> e Pontos de Atenção respectivos registros fotográficos no </w:t>
      </w:r>
      <w:r>
        <w:rPr>
          <w:rFonts w:ascii="Aptos" w:hAnsi="Aptos"/>
          <w:b/>
          <w:sz w:val="22"/>
        </w:rPr>
        <w:t>Apêndice B</w:t>
      </w:r>
      <w:r>
        <w:rPr>
          <w:rFonts w:ascii="Aptos" w:hAnsi="Aptos"/>
          <w:sz w:val="22"/>
        </w:rPr>
        <w:t>. A descrição da evidência está referenciada conforme a norma de descrição de defeitos do DNIT.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4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5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oito (8)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