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40"/>
        <w:jc w:val="center"/>
      </w:pPr>
      <w:r>
        <w:rPr>
          <w:rFonts w:ascii="Aptos" w:hAnsi="Aptos"/>
          <w:b/>
          <w:sz w:val="22"/>
        </w:rPr>
        <w:t>RELATÓRIO DE FISCALIZAÇÃO PROCESSO ADMINISTRATIVO CTR Nº 06/2025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5293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a_fiscalizaca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293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  <w:jc w:val="center"/>
      </w:pPr>
      <w:r>
        <w:rPr>
          <w:b/>
        </w:rPr>
        <w:t>FISCALIZAÇÃO DO COMPLEXO VIÁRIO E LOGÍSTICO DE SUAPE – EXPRESSWAY</w:t>
      </w:r>
    </w:p>
    <w:p>
      <w:pPr>
        <w:spacing w:after="120"/>
        <w:jc w:val="center"/>
      </w:pPr>
      <w:r>
        <w:rPr>
          <w:b/>
        </w:rPr>
        <w:t>PRESTADOR DE SERVIÇO: CONCESSIONÁRIA ROTA DO ATLÂNTICO (CRA)</w:t>
      </w:r>
    </w:p>
    <w:p>
      <w:pPr>
        <w:spacing w:after="240"/>
        <w:jc w:val="center"/>
      </w:pPr>
      <w:r>
        <w:rPr>
          <w:b/>
        </w:rPr>
        <w:t>CONTRATO DE CONCESSÃO CT. Nº 043/2011</w:t>
      </w:r>
    </w:p>
    <w:p>
      <w:pPr>
        <w:spacing w:after="0"/>
        <w:jc w:val="center"/>
      </w:pPr>
      <w:r>
        <w:rPr>
          <w:b/>
          <w:sz w:val="24"/>
        </w:rPr>
        <w:t>Alcides Vieira</w:t>
      </w:r>
    </w:p>
    <w:p>
      <w:pPr>
        <w:spacing w:after="240"/>
        <w:jc w:val="center"/>
      </w:pPr>
      <w:r>
        <w:rPr>
          <w:sz w:val="24"/>
        </w:rPr>
        <w:t>Analista de Regulação, matrícula nº xxxxxxx/xx</w:t>
      </w:r>
    </w:p>
    <w:p>
      <w:pPr>
        <w:spacing w:after="0"/>
        <w:jc w:val="center"/>
      </w:pPr>
      <w:r>
        <w:rPr>
          <w:b/>
          <w:sz w:val="24"/>
        </w:rPr>
        <w:t>Enildo Manoel</w:t>
      </w:r>
    </w:p>
    <w:p>
      <w:pPr>
        <w:spacing w:after="240"/>
        <w:jc w:val="center"/>
      </w:pPr>
      <w:r>
        <w:rPr>
          <w:sz w:val="24"/>
        </w:rPr>
        <w:t>Analista de Regulação, matrícula nº xxxxxxx/xx</w:t>
      </w:r>
    </w:p>
    <w:p>
      <w:pPr>
        <w:spacing w:before="240" w:after="240"/>
        <w:jc w:val="center"/>
      </w:pPr>
      <w:r>
        <w:rPr>
          <w:b/>
          <w:sz w:val="24"/>
        </w:rPr>
        <w:t>Junho, 2025</w:t>
      </w:r>
    </w:p>
    <w:p>
      <w:pPr>
        <w:spacing w:after="0"/>
        <w:jc w:val="center"/>
      </w:pPr>
      <w:r>
        <w:rPr>
          <w:b/>
          <w:sz w:val="24"/>
        </w:rPr>
        <w:t>RELATÓRIO DE FISCALIZAÇÃO PROCESSO ADMINISTRATIVO Nº 06/2025 - CTR</w:t>
      </w:r>
    </w:p>
    <w:p>
      <w:pPr>
        <w:spacing w:after="0"/>
        <w:jc w:val="center"/>
      </w:pPr>
      <w:r>
        <w:rPr>
          <w:b/>
          <w:sz w:val="24"/>
        </w:rPr>
        <w:t>SEI Nº xxxxxxxxxxxx/2025-XX</w:t>
      </w:r>
    </w:p>
    <w:p>
      <w:r>
        <w:br w:type="page"/>
      </w:r>
    </w:p>
    <w:p>
      <w:pPr>
        <w:spacing w:before="240" w:after="480"/>
        <w:jc w:val="center"/>
      </w:pPr>
      <w:r>
        <w:rPr>
          <w:b/>
          <w:sz w:val="24"/>
        </w:rPr>
        <w:t>LISTA DE ABREVIATURAS E SIGLAS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2"/>
              </w:rPr>
              <w:t>SIGLA</w:t>
            </w:r>
          </w:p>
        </w:tc>
        <w:tc>
          <w:tcPr>
            <w:tcW w:type="dxa" w:w="7200"/>
          </w:tcPr>
          <w:p>
            <w:pPr>
              <w:jc w:val="center"/>
            </w:pPr>
            <w:r>
              <w:rPr>
                <w:b/>
                <w:sz w:val="22"/>
              </w:rPr>
              <w:t>DEFINIÇÃO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CRA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Concessionária Rota do Atlântico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ECR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ECR Engenharia Ltda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FD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Faixa Direita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FE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Faixa Esquerda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IGG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Índice de Gravidade Global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IRI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Índice Irregularidade Longitudinal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NC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Não Conformidade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PDCL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Programa de Desenvolvimento do Complexo Logístico, Anexo IV do Contrato de Concessão nº 043/2011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SUAPE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Poder Concedente e Regulador do Contrato de Concessão firmado com a CRA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TPF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TPF Engenharia Ltda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TDR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Tronco Distribuidor Rodoviário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VI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Verificador Independente contratado por SUAPE, atualmente o Consórcio formado pelas Empresas TPF e ECR</w:t>
            </w:r>
          </w:p>
        </w:tc>
      </w:tr>
    </w:tbl>
    <w:p>
      <w:r>
        <w:br w:type="page"/>
      </w:r>
    </w:p>
    <w:p>
      <w:pPr>
        <w:spacing w:before="240" w:after="480"/>
        <w:jc w:val="center"/>
      </w:pPr>
      <w:r>
        <w:rPr>
          <w:rFonts w:ascii="Aptos" w:hAnsi="Aptos"/>
          <w:b/>
          <w:sz w:val="28"/>
        </w:rPr>
        <w:t>SUMÁRIO</w:t>
      </w:r>
    </w:p>
    <w:sdt>
      <w:sdtPr>
        <w:id w:val="914752099"/>
        <w:docPartObj>
          <w:docPartGallery w:val="Table of Contents"/>
          <w:docPartUnique/>
        </w:docPartObj>
      </w:sdtPr>
      <w:sdtEndPr>
        <w:rPr>
          <w:rFonts w:ascii="Aptos" w:hAnsi="Aptos"/>
          <w:b/>
          <w:bCs/>
        </w:rPr>
      </w:sdtEndPr>
      <w:sdtContent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r>
            <w:rPr>
              <w:rFonts w:ascii="Aptos" w:hAnsi="Aptos"/>
            </w:rPr>
            <w:fldChar w:fldCharType="begin"/>
          </w:r>
          <w:r>
            <w:rPr>
              <w:rFonts w:ascii="Aptos" w:hAnsi="Aptos"/>
            </w:rPr>
            <w:instrText xml:space="preserve"> TOC \o "1-3" \h \z \u </w:instrText>
          </w:r>
          <w:r>
            <w:rPr>
              <w:rFonts w:ascii="Aptos" w:hAnsi="Aptos"/>
            </w:rPr>
            <w:fldChar w:fldCharType="separate"/>
          </w:r>
          <w:hyperlink w:history="1">
            <w:r>
              <w:rPr>
                <w:rFonts w:ascii="Aptos" w:hAnsi="Aptos"/>
                <w:b/>
                <w:sz w:val="22"/>
              </w:rPr>
              <w:t>1.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INTRODUÇÃO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4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2.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OBJETIVO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4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3.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INFORMAÇÕES GERAIS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4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4.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METODOLOGIA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5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5.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FISCALIZAÇÃO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7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6.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DETERMINAÇÕES GERAIS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11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7.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RECOMENDAÇÕES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11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8.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CONCLUSÕES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11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APÊNDICE ÚNICO  – REGISTROS FOTOGRÁFICOS DAS NÃO CONFORMIDADES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12</w:t>
            </w:r>
          </w:hyperlink>
        </w:p>
        <w:p>
          <w:r>
            <w:rPr>
              <w:rFonts w:ascii="Aptos" w:hAnsi="Aptos"/>
              <w:b/>
            </w:rPr>
            <w:fldChar w:fldCharType="end"/>
          </w:r>
        </w:p>
      </w:sdtContent>
    </w:sdt>
    <w:p>
      <w:pPr>
        <w:sectPr>
          <w:pgSz w:w="11909" w:h="16834"/>
          <w:pgMar w:top="720" w:right="720" w:bottom="720" w:left="720" w:header="720" w:footer="720" w:gutter="0"/>
          <w:cols w:space="720"/>
          <w:docGrid w:linePitch="360"/>
        </w:sectPr>
      </w:pPr>
    </w:p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1. INTRODUÇÃO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A Coordenadoria de Transporte e Rodovias da Arpe implementou o cronograma de fiscalização para 2025 do Complexo Viário e Logístico de SUAPE, sob a responsabilidade da Concessionária Rota do Atlântico (CRA), visualizando a necessidade de serem reservados dois dias consecutivos, para melhor estruturar suas ações de fiscalização técnico-operacionais da Rodovia.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Ainda com a visão de implantar melhorias na contribuição da Agência sobre os trabalhos desenvolvidos na rodovia, foi introduzida uma visita técnica prévia, realizada uma semana antes do período de fiscalização, com o objetivo de elaborar um roteiro que é encaminhado para a CRA e SUAPE contendo os trechos mapeados com possíveis Não Conformidades, tornando os levantamentos fotográficos mais ágeis e a fiscalização efetiva.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Posteriormente, as possíveis Não Conformidades levantadas in campo são analisadas de acordo com os critérios elencados no PDCL anexo ao Contrato de Concessão, em conjunto com o último Relatório Anual elaborado pelo Verificador Independente.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Destaca-se preliminarmente que as ações de fiscalização registradas neste Relatório foram concentradas na Rodovia PE-009, do Entroncamento BR-101 ao Entroncamento PE-038, que abrange os subtrechos concedidos, especificamente, o Contorno do Cabo, TDR Norte, TDR Sul e a Ligação Rótula Curva do Boi a Nossa Senhora do Ó; e Rodovia Estadual VPE-034.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 xml:space="preserve">É importante observar que foram realizadas ações de fiscalização, no dia 11 de junho de 2025, conforme comunicado enviado à SUAPE por meio do Ofício Arpe/DTO nº </w:t>
      </w:r>
      <w:r>
        <w:rPr>
          <w:rFonts w:ascii="Aptos" w:hAnsi="Aptos"/>
          <w:color w:val="FF0000"/>
          <w:sz w:val="22"/>
        </w:rPr>
        <w:t>302 (Doc. SEI 75605952)</w:t>
      </w:r>
      <w:r>
        <w:rPr>
          <w:rFonts w:ascii="Aptos" w:hAnsi="Aptos"/>
          <w:sz w:val="22"/>
        </w:rPr>
        <w:t>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Destaca-se que as fiscalizações realizadas pela Arpe são tratadas com caráter educativo, preferencialmente, e contributivo para correção de procedimentos e solução de Não Conformidades evidenciados por defeitos e/ou problemas na infraestrutura disponibilizada e respectivos serviços concedidos pelo Estado.</w:t>
      </w:r>
    </w:p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2. OBJETIVO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A fiscalização direta e periódica do complexo viário e logístico de Suape – Expressway concedido à CRA, tem por objetivo verificar as condições de operação, manutenção, segurança viária e níveis de serviço, bem como identificar não conformidades, subsidiar medidas corretivas e assegurar a observância das disposições contratuais, regulamentares e normativas aplicáveis, preservando a segurança, a qualidade do serviço, e a adequada prestação do serviço público aos usuários. Dessa forma a ação de fiscalização da Arpe verifica o grau de conformidade dessas instalações com o Contrato de Concessão, bem como com a legislação e normas vigentes de modo a determinar/ou recomendar medidas corretivas, com foco na qualidade dos serviços prestados.</w:t>
      </w:r>
    </w:p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3. INFORMAÇÕES GERAIS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10800"/>
            <w:gridSpan w:val="2"/>
            <w:shd w:val="clear" w:color="auto" w:fill="DDDDDD"/>
          </w:tcPr>
          <w:p>
            <w:pPr>
              <w:spacing w:before="80" w:after="80"/>
              <w:jc w:val="center"/>
            </w:pPr>
            <w:r>
              <w:rPr>
                <w:rFonts w:ascii="Aptos" w:hAnsi="Aptos"/>
                <w:b/>
                <w:sz w:val="22"/>
              </w:rPr>
              <w:t>3.1 DO TITULAR E REGULADOR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Titular: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SUAPE – Complexo Industrial Portuário Governador Eraldo Gueiros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Endereço: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Engenho Massangana – Km 10 – Rodovia PE – 60 Ipojuca/PE CEP: 55.590-000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Responsável: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JOSÉ CONSTANTINO DA SILVA FILHO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Representantes por acompanhar: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Viviane Alves Walzertudes</w:t>
            </w:r>
          </w:p>
        </w:tc>
      </w:tr>
      <w:tr>
        <w:tc>
          <w:tcPr>
            <w:tcW w:type="dxa" w:w="10800"/>
            <w:gridSpan w:val="2"/>
            <w:shd w:val="clear" w:color="auto" w:fill="DDDDDD"/>
          </w:tcPr>
          <w:p>
            <w:pPr>
              <w:spacing w:before="80" w:after="80"/>
              <w:jc w:val="center"/>
            </w:pPr>
            <w:r>
              <w:rPr>
                <w:rFonts w:ascii="Aptos" w:hAnsi="Aptos"/>
                <w:b/>
                <w:sz w:val="22"/>
              </w:rPr>
              <w:t>3.2 DO VERIFICADOR INDEPENDENTE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Verificador Independente: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Consórcio das Empresas TPF/ECR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Endereço: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Rua Irene Ramos Gomes de Mattos, Nº 176, Pina, Recife/PE CEP: 51011-530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Responsável: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RICARDO MEDEIROS PEREIRA DE CARVALHO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Representantes por acompanhar: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Sónya Albuquerque; Ricardo Henrique Ferraz de Farias; Lauro Ricardo Torres Galindo e Maynara Milena Silva de Lima</w:t>
            </w:r>
          </w:p>
        </w:tc>
      </w:tr>
      <w:tr>
        <w:tc>
          <w:tcPr>
            <w:tcW w:type="dxa" w:w="10800"/>
            <w:gridSpan w:val="2"/>
            <w:shd w:val="clear" w:color="auto" w:fill="DDDDDD"/>
          </w:tcPr>
          <w:p>
            <w:pPr>
              <w:spacing w:before="80" w:after="80"/>
              <w:jc w:val="center"/>
            </w:pPr>
            <w:r>
              <w:rPr>
                <w:rFonts w:ascii="Aptos" w:hAnsi="Aptos"/>
                <w:b/>
                <w:sz w:val="22"/>
              </w:rPr>
              <w:t>3.3 DO REGULADO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Regulado: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CRA - Concessionária Rota do Atlântico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Responsável: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RAFAELA ELAINE DA COSTA LIMA ARAÚJO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Endereço: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Rodovia PE-009, Km 38,5(TDR Norte, 2074) – Distrito Industrial Suape, Cabo de Santo Agostinho/PE – CEP: 54.590-000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Representantes por acompanhar: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Vanessa Monteiro e OuvidoraXXXCRA</w:t>
            </w:r>
          </w:p>
        </w:tc>
      </w:tr>
      <w:tr>
        <w:tc>
          <w:tcPr>
            <w:tcW w:type="dxa" w:w="10800"/>
            <w:gridSpan w:val="2"/>
            <w:shd w:val="clear" w:color="auto" w:fill="DDDDDD"/>
          </w:tcPr>
          <w:p>
            <w:pPr>
              <w:spacing w:before="80" w:after="80"/>
              <w:jc w:val="center"/>
            </w:pPr>
            <w:r>
              <w:rPr>
                <w:rFonts w:ascii="Aptos" w:hAnsi="Aptos"/>
                <w:b/>
                <w:sz w:val="22"/>
              </w:rPr>
              <w:t>3.4 DO FISCALIZADOR (CONVÊNIO SUAPE/ARPE Nº 003/2021)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Regulador: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Agência de Regulação de Pernambuco (Arpe)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Diretor Presidente: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CARLOS PORTO FILHO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Endereço: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Avenida Conselheiro Rosa e Silva, 975, Aflitos, Recife/PE, CEP: 52.050-020.</w:t>
              <w:br/>
              <w:t>Estacionamento: Rua do Futuro, 150, Aflitos, Recife/PE.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Responsáveis pela fiscalização: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Alcides Vieira; Enildo Manoel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Período da Fiscalização: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26/04/2025 a 01/05/2034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Tipo de Fiscalização: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Direta e periódica.</w:t>
            </w:r>
          </w:p>
        </w:tc>
      </w:tr>
    </w:tbl>
    <w:p/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4. METODOLOGIA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A Coordenadoria de Transporte e Rodovias da Arpe implementou o cronograma de fiscalização para 2025 do Complexo Viário e Logístico de SUAPE reservando dois dias consecutivos, para melhor estruturar suas ações de fiscalização técnico-operacionais no Complexo Rodoviário, após uma visita técnica prévia, realizada antes do período de fiscalização, com o objetivo de elaborar um roteiro que é encaminhado para a CRA e SUAPE contendo os trechos mapeados com possíveis Não Conformidades, tornando os levantamentos fotográficos mais ágeis e a fiscalização efetiva.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Posteriormente, as possíveis Não Conformidades levantadas em campo são analisadas de acordo com os critérios elencados no PDCL (Anexo IV do Contrato de Concessão), em conjunto com o último Relatório Anual elaborado pelo Verificador Independente.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Assim, a fiscalização direta e periódica realizada pela Coordenadoria de Transportes e Rodovias da Arpe está submetida a uma metodologia organizada em três etapas: Preparação e Planejamento, Execução da Fiscalização e Monitoramento e Avaliação.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Preparação e Planejamento - compreende a organização e estruturação das atividades preliminares à execução da fiscalização, destacando-se a elaboração e o envio de avisos de fiscalização à Concessionária e demais atividades de suporte à fiscalização, bem como a análise de fiscalizações anteriores com a identificação de eventuais Não Conformidades pendentes.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Execução da Fiscalização - a execução da fiscalização é pautada por um arcabouço de normas e diretrizes, possibilitando que todas as etapas sejam desenvolvidas de maneira eficiente e em conformidade aos padrões estabelecidos, destacando-se:</w:t>
      </w:r>
    </w:p>
    <w:p>
      <w:pPr>
        <w:spacing w:line="276" w:lineRule="auto" w:after="120"/>
        <w:ind w:left="72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Lei Estadual nº. 12.524, de 30 de dezembro de 2003, regulamentada pelo Decreto Estadual nº. 30.200, de 09 de fevereiro de 2007, que altera e consolida as disposições da Lei nº. 12.126, de 12 de dezembro de 2001, que cria a Agência de Regulação dos Serviços Públicos Delegados do Estado de Pernambuco - ARPE, e dá outras providências;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Art. 3º Compete à ARPE a regulação de todos os serviços públicos delegados pelo Estado de Pernambuco, ou por ele diretamente prestados, embora sujeitos à delegação, quer de sua competência ou a ele delegados por outros entes federados, em decorrência de norma legal ou regulamentar, disposição convenial ou contratual.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§ 1º A atividade reguladora da ARPE deverá ser exercida, em especial, nas seguintes áreas: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[...]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III - rodovias;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[...]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Art. 4º Compete ainda à ARPE: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[...]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X - Fiscalizar diretamente ou mediante convênio com o Estado de Pernambuco, através de seus órgãos ou entidades vinculadas, com sua supervisão, os aspects técnico, econômico, contábil, financeiro, operacional e jurídico dos serviços públicos delegados, valendo-se inclusive, de indicadores e procedimentos amostrais.</w:t>
      </w:r>
    </w:p>
    <w:p/>
    <w:p>
      <w:pPr>
        <w:spacing w:line="276" w:lineRule="auto" w:after="120"/>
        <w:ind w:left="72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Contrato de Concessão CT. nº 043/2011, de 18 de julho de 2011, para a delegação da exploração do Complexo Viário e Logístico de SUAPE – EXPRESSWAY, conforme detalhado no Anexo IV do Edital (PDCL) e regidos pela Constituição Federal; pela Lei Federal Nº 8.987/95; Lei Federal Nº 9.074/95; Lei Federal 8.666/93 e Lei Estadual Nº 14.233/2010.</w:t>
      </w:r>
    </w:p>
    <w:p/>
    <w:p>
      <w:pPr>
        <w:spacing w:line="276" w:lineRule="auto" w:after="120"/>
        <w:ind w:left="72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Convênio de Cooperação Técnica n° 003/2021 de 22 de setembro 2021, firmado entre o Complexo Industrial Portuário Governador Eraldo Gueiros – SUAPE e a Agência de Regulação de Pernambuco – ARPE, e Renovação do Termo Aditivo que prorroga o prazo de vigência e execução contratual até 22 de setembro de 2026.</w:t>
      </w:r>
    </w:p>
    <w:p/>
    <w:p>
      <w:pPr>
        <w:spacing w:line="276" w:lineRule="auto" w:after="120"/>
        <w:ind w:left="72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Norma DNIT 005/2003 – que define os termos técnicos empregados in defeitos que ocorrem nos pavimentos flexíveis e semirrígidos e serve para padronizar a linguagem adotada na elaboração das normas, manuais, projetos e textos relativos aos pavimentos flexíveis e semirrígidos.</w:t>
      </w:r>
    </w:p>
    <w:p/>
    <w:p>
      <w:pPr>
        <w:spacing w:line="276" w:lineRule="auto" w:after="120"/>
        <w:ind w:left="72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Relatórios elaborados pelo Verificador Independente.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Registra-se que as Não conformidades (NC) são codificadas de acordo com os seguintes níveis de informação, separados por “.” (ponto):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1 - três dígitos, caracterizando a concessionária: CRA ou CRC.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2 - composto por cinco dígitos: os dois primeiros representam as subdivisões utilizadas na rodovia concedida, por exemplo, Trecho (TR); Subtrecho (ST); Segmento Homogêneo (SH) e os três últimos dígitos identificam a subdivisão utilizada em cada contrato.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3 – composto por nove dígitos os quatro primeiros e os quatro últimos delimitam a localização das NC em escala de 0,01Km e o dígito intermediário informa se a NC é pontual "+" ou distribuída.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4 – informa o ano da constatação da NC com quatro dígitos, antecedido de “/”.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5 - contendo o sequencial numérico da NC no ano, expresso em três dígitos.</w:t>
      </w:r>
    </w:p>
    <w:p>
      <w:pPr>
        <w:spacing w:after="120"/>
        <w:ind w:left="1440"/>
      </w:pPr>
      <w:r>
        <w:rPr>
          <w:rFonts w:ascii="Aptos" w:hAnsi="Aptos"/>
          <w:sz w:val="22"/>
        </w:rPr>
        <w:t>Exemplo:</w:t>
      </w:r>
    </w:p>
    <w:p>
      <w:pPr>
        <w:spacing w:after="120"/>
        <w:ind w:left="2410"/>
      </w:pPr>
      <w:r>
        <w:rPr>
          <w:rFonts w:ascii="Aptos" w:hAnsi="Aptos"/>
          <w:b/>
          <w:sz w:val="22"/>
        </w:rPr>
        <w:t>CRA.ST601.2794-2834/2025.013</w:t>
      </w:r>
    </w:p>
    <w:p>
      <w:pPr>
        <w:spacing w:after="120" w:line="276" w:lineRule="auto"/>
        <w:ind w:left="2410"/>
        <w:jc w:val="both"/>
      </w:pPr>
      <w:r>
        <w:rPr>
          <w:rFonts w:ascii="Aptos" w:hAnsi="Aptos"/>
          <w:sz w:val="22"/>
        </w:rPr>
        <w:t>Indica que esta Não Conformidade foi apontada para a CRA, no subtrecho 6.01, distribuída do km 27,94 ao km 28,34, sendo a 13ª NC registrada pela Arpe em 2025</w:t>
      </w:r>
    </w:p>
    <w:p>
      <w:pPr>
        <w:spacing w:after="120" w:line="276" w:lineRule="auto"/>
        <w:jc w:val="both"/>
      </w:pPr>
      <w:r>
        <w:rPr>
          <w:rFonts w:ascii="Aptos" w:hAnsi="Aptos"/>
          <w:b/>
          <w:sz w:val="22"/>
        </w:rPr>
        <w:t>Monitoramento e Avaliação</w:t>
      </w:r>
      <w:r>
        <w:rPr>
          <w:rFonts w:ascii="Aptos" w:hAnsi="Aptos"/>
          <w:sz w:val="22"/>
        </w:rPr>
        <w:t xml:space="preserve"> - Esta etapa é fundamental para garantir a eficácia das ações corretivas a serem executadas pela Concessionária para a melhoria contínua dos serviços prestados. Os principais instrumentos do Monitoramento e Avaliação são: Termo de Notificação e respectivo Relatório de Fiscalização, Plano de Ação da Concessionária e Relatórios de Monitoramento e Avaliação Final.</w:t>
      </w:r>
    </w:p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5. FISCALIZAÇÃO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 xml:space="preserve">As ações de fiscalização foram realizadas pela equipe formada pelos servidores: </w:t>
      </w:r>
      <w:r>
        <w:rPr>
          <w:rFonts w:ascii="Aptos" w:hAnsi="Aptos"/>
          <w:b/>
          <w:sz w:val="22"/>
        </w:rPr>
        <w:t>Alcides Vieira</w:t>
      </w:r>
      <w:r>
        <w:rPr>
          <w:rFonts w:ascii="Aptos" w:hAnsi="Aptos"/>
          <w:sz w:val="22"/>
        </w:rPr>
        <w:t>, matrícula nº xxxxxxx/xx</w:t>
      </w:r>
      <w:r>
        <w:rPr>
          <w:rFonts w:ascii="Aptos" w:hAnsi="Aptos"/>
          <w:sz w:val="22"/>
        </w:rPr>
        <w:t xml:space="preserve"> e </w:t>
      </w:r>
      <w:r>
        <w:rPr>
          <w:rFonts w:ascii="Aptos" w:hAnsi="Aptos"/>
          <w:b/>
          <w:sz w:val="22"/>
        </w:rPr>
        <w:t>Enildo Manoel</w:t>
      </w:r>
      <w:r>
        <w:rPr>
          <w:rFonts w:ascii="Aptos" w:hAnsi="Aptos"/>
          <w:sz w:val="22"/>
        </w:rPr>
        <w:t>, matrícula nº xxxxxxx/xx</w:t>
      </w:r>
      <w:r>
        <w:rPr>
          <w:rFonts w:ascii="Aptos" w:hAnsi="Aptos"/>
          <w:sz w:val="22"/>
        </w:rPr>
        <w:t xml:space="preserve"> nos dias 11 de junho de 2025. Nessas ações foram identificados 0 achados de fiscalização nas áreas sob concessão por meio de um levantamento de campo nas Rodovias com evidências de defeitos que poderiam se caracterizar Não Conformidades.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Esses achados foram avaliados tomando por base as orientações do PDCL, em especial, o Subitem 4.2.2.1.3 - Parâmetros Mínimos Exigidos, visualizando que "os pavimentos deverão ser analisados quanto às suas condições de superfície, conforto, deformabilidade, vida remanescente e segurança”, e ainda que os “parâmetros de aceitabilidade do pavimento para essas condições que deverão ser totalmente atendidas durante o período de CONCESSÃO”.</w:t>
      </w:r>
    </w:p>
    <w:p>
      <w:pPr>
        <w:spacing w:before="240" w:after="120"/>
        <w:jc w:val="center"/>
      </w:pPr>
      <w:r>
        <w:rPr>
          <w:rFonts w:ascii="Aptos" w:hAnsi="Aptos"/>
          <w:b/>
          <w:sz w:val="22"/>
        </w:rPr>
        <w:t>Quadro 1</w:t>
      </w:r>
      <w:r>
        <w:rPr>
          <w:rFonts w:ascii="Aptos" w:hAnsi="Aptos"/>
          <w:sz w:val="22"/>
        </w:rPr>
        <w:t xml:space="preserve"> – Demonstrativo da Elegibilidade do Trecho Fiscalizado para Indicação de NC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7"/>
        <w:gridCol w:w="2617"/>
        <w:gridCol w:w="2617"/>
        <w:gridCol w:w="2617"/>
      </w:tblGrid>
      <w:tr>
        <w:tc>
          <w:tcPr>
            <w:tcW w:type="dxa" w:w="2592"/>
            <w:shd w:fill="DDDDDD"/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TRECHO ELEGÍVEL</w:t>
              <w:br/>
              <w:t>(KMinicial-KMfinal)</w:t>
            </w:r>
          </w:p>
        </w:tc>
        <w:tc>
          <w:tcPr>
            <w:tcW w:type="dxa" w:w="1584"/>
            <w:shd w:fill="DDDDDD"/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SUBTRECHO</w:t>
            </w:r>
          </w:p>
        </w:tc>
        <w:tc>
          <w:tcPr>
            <w:tcW w:type="dxa" w:w="2736"/>
            <w:shd w:fill="DDDDDD"/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IGG</w:t>
              <w:br/>
              <w:t>(Relatório Anual 01/2025)</w:t>
            </w:r>
          </w:p>
        </w:tc>
        <w:tc>
          <w:tcPr>
            <w:tcW w:type="dxa" w:w="2736"/>
            <w:shd w:fill="DDDDDD"/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IRI</w:t>
              <w:br/>
              <w:t>(Relatório Anual 01/2025)</w:t>
            </w:r>
          </w:p>
        </w:tc>
      </w:tr>
      <w:tr>
        <w:tc>
          <w:tcPr>
            <w:tcW w:type="dxa" w:w="2736"/>
            <w:gridSpan w:val="4"/>
            <w:shd w:fill="FFFFCC"/>
          </w:tcPr>
          <w:p>
            <w:pPr>
              <w:jc w:val="left"/>
            </w:pPr>
            <w:r>
              <w:rPr>
                <w:rFonts w:ascii="Aptos" w:hAnsi="Aptos"/>
                <w:b w:val="0"/>
                <w:sz w:val="20"/>
              </w:rPr>
              <w:t>PE - 009, PISTA SENTIDO SUL (CRESCENTE)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29,08 - 29,14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49,29</w:t>
              <w:br/>
              <w:t>(página 285)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4,16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33,88-33,90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6.06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47,02</w:t>
              <w:br/>
              <w:t>(página 296)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3,58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34,00-34,02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6.07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44,60</w:t>
              <w:br/>
              <w:t>(página 297)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3,21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34,28-34,40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6.07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44,60</w:t>
              <w:br/>
              <w:t>(página 297)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3,21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34,52-34,56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6.07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44,60</w:t>
              <w:br/>
              <w:t>(página 297)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3,21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34,66-34,68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6.07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44,60</w:t>
              <w:br/>
              <w:t>(página 297)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3,21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34,72-34,74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6.07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44,60</w:t>
              <w:br/>
              <w:t>(página 297)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3,21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36,02-36,13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71,00</w:t>
              <w:br/>
              <w:t>(página 223)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3,92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36,18-36,32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71,00</w:t>
              <w:br/>
              <w:t>(página 223)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3,92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36,94-36,98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61,68</w:t>
              <w:br/>
              <w:t>(página 225)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37,00-37,10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61,68</w:t>
              <w:br/>
              <w:t>(página 225)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37,10-37,12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61,68</w:t>
              <w:br/>
              <w:t>(página 225)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37,38-37,38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61,68</w:t>
              <w:br/>
              <w:t>(página 225)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37,54-37,58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61,68</w:t>
              <w:br/>
              <w:t>(página 225)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37,62-37,66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4.03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51,64</w:t>
              <w:br/>
              <w:t>(página 227)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38,32+38,32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4.03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51,64</w:t>
              <w:br/>
              <w:t>(página 227)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41,16-41,22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3.01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42,34</w:t>
              <w:br/>
              <w:t>(página 204)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3,00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41,84-41,88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3.02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45,60</w:t>
              <w:br/>
              <w:t>(página 206)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2,88</w:t>
              <w:br/>
              <w:t>(página 125)</w:t>
            </w:r>
          </w:p>
        </w:tc>
      </w:tr>
      <w:tr>
        <w:tc>
          <w:tcPr>
            <w:tcW w:type="dxa" w:w="2736"/>
            <w:gridSpan w:val="4"/>
            <w:shd w:fill="FFFFCC"/>
          </w:tcPr>
          <w:p>
            <w:pPr>
              <w:jc w:val="left"/>
            </w:pPr>
            <w:r>
              <w:rPr>
                <w:rFonts w:ascii="Aptos" w:hAnsi="Aptos"/>
                <w:b w:val="0"/>
                <w:sz w:val="20"/>
              </w:rPr>
              <w:t>PE - 009, PISTA SENTIDO NORTE (DECRESCENTE)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40,16-40,60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4.06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70,36</w:t>
              <w:br/>
              <w:t>(página 233)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3,74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39,94-39,90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4.06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70,36</w:t>
              <w:br/>
              <w:t>(página 233)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3,74</w:t>
              <w:br/>
              <w:t>(página 125)</w:t>
            </w:r>
          </w:p>
        </w:tc>
      </w:tr>
      <w:tr>
        <w:tc>
          <w:tcPr>
            <w:tcW w:type="dxa" w:w="2736"/>
            <w:gridSpan w:val="4"/>
            <w:shd w:fill="FFFFCC"/>
          </w:tcPr>
          <w:p>
            <w:pPr>
              <w:jc w:val="left"/>
            </w:pPr>
            <w:r>
              <w:rPr>
                <w:rFonts w:ascii="Aptos" w:hAnsi="Aptos"/>
                <w:b w:val="0"/>
                <w:sz w:val="20"/>
              </w:rPr>
              <w:t>VPE – 034, PISTA SENTIDO SUL (CRESCENTE)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00,06-00,36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58,46</w:t>
              <w:br/>
              <w:t>(página 250)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00,45-00,48</w:t>
              <w:br/>
              <w:t>(ROTATÓRIA)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58,46</w:t>
              <w:br/>
              <w:t>(página 250)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00,52-00,56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58,46</w:t>
              <w:br/>
              <w:t>(página 250)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00,58-00,62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58,46</w:t>
              <w:br/>
              <w:t>(página 250)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00,68-00,86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58,46</w:t>
              <w:br/>
              <w:t>(página 250)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01,56-01,58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35,91</w:t>
              <w:br/>
              <w:t>(página 252)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4,86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01,76-01,78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35,91</w:t>
              <w:br/>
              <w:t>(página 252)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4,86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02,04-02,12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5.03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35,36</w:t>
              <w:br/>
              <w:t>(página 254)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4,23</w:t>
              <w:br/>
              <w:t>(página 125)</w:t>
            </w:r>
          </w:p>
        </w:tc>
      </w:tr>
      <w:tr>
        <w:tc>
          <w:tcPr>
            <w:tcW w:type="dxa" w:w="2736"/>
            <w:gridSpan w:val="4"/>
            <w:shd w:fill="FFFFCC"/>
          </w:tcPr>
          <w:p>
            <w:pPr>
              <w:jc w:val="left"/>
            </w:pPr>
            <w:r>
              <w:rPr>
                <w:rFonts w:ascii="Aptos" w:hAnsi="Aptos"/>
                <w:b w:val="0"/>
                <w:sz w:val="20"/>
              </w:rPr>
              <w:t>VPE - 034, PISTA SENTIDO NORTE (DECRESCENTE)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02,78-02,72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5.11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60,89</w:t>
              <w:br/>
              <w:t>(página 271)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4,23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02,16-02,08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5.11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60,89</w:t>
              <w:br/>
              <w:t>(página 271)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4,23</w:t>
              <w:br/>
              <w:t>(página 125)</w:t>
            </w:r>
          </w:p>
        </w:tc>
      </w:tr>
    </w:tbl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Os trechos com Não Conformidades registradas no Quadro 1, a seguir, associadas aos respectivos subtrechos, foram avaliadas pelos valores do Índice de Gravidade Global (IGG) que ultrapassaram o limite máximo previsto ≥ 30, como também os valores do Índice Irregularidade Longitudinal (IRI) que ultrapassaram o limite máximo previsto ≥ 2,7 m/km constantes do Relatório Anual 01 de novembro/2025 elaborado pelo Verificador Independente.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A partir das vistorias de campo, e das avaliações das Não Conformidades registradas pelo Verificador Independente, foram consolidadas as informações no Quadro 2, a seguir, as Não Conformidades e Determinações/Recomendações expedidas pela Arpe.</w:t>
      </w:r>
    </w:p>
    <w:p>
      <w:pPr>
        <w:spacing w:after="120"/>
        <w:jc w:val="center"/>
      </w:pPr>
      <w:r>
        <w:rPr>
          <w:rFonts w:ascii="Aptos" w:hAnsi="Aptos"/>
          <w:b/>
          <w:sz w:val="22"/>
        </w:rPr>
        <w:t>Quadro 2</w:t>
      </w:r>
      <w:r>
        <w:rPr>
          <w:rFonts w:ascii="Aptos" w:hAnsi="Aptos"/>
          <w:sz w:val="22"/>
        </w:rPr>
        <w:t xml:space="preserve"> – Determinações para Não Conformidades Identificadas – junho/2025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20" w:space="0" w:color="000000"/>
          <w:left w:val="single" w:sz="20" w:space="0" w:color="000000"/>
          <w:bottom w:val="single" w:sz="20" w:space="0" w:color="000000"/>
          <w:right w:val="single" w:sz="20" w:space="0" w:color="000000"/>
          <w:insideH w:val="single" w:sz="20" w:space="0" w:color="000000"/>
          <w:insideV w:val="single" w:sz="20" w:space="0" w:color="000000"/>
        </w:tblBorders>
      </w:tblPr>
      <w:tblGrid>
        <w:gridCol w:w="2094"/>
        <w:gridCol w:w="2094"/>
        <w:gridCol w:w="2094"/>
        <w:gridCol w:w="2094"/>
        <w:gridCol w:w="2094"/>
      </w:tblGrid>
      <w:tr>
        <w:tc>
          <w:tcPr>
            <w:tcW w:type="dxa" w:w="2016"/>
            <w:gridSpan w:val="2"/>
            <w:vAlign w:val="center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NÃO CONFORMIDADE (NC)</w:t>
            </w:r>
          </w:p>
        </w:tc>
        <w:tc>
          <w:tcPr>
            <w:tcW w:type="dxa" w:w="1757"/>
            <w:vMerge w:val="restart"/>
            <w:vAlign w:val="center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LOCALIZAÇÃO/</w:t>
              <w:br/>
              <w:t>REGISTRO FOTOGRÁFICO</w:t>
            </w:r>
          </w:p>
        </w:tc>
        <w:tc>
          <w:tcPr>
            <w:tcW w:type="dxa" w:w="2434"/>
            <w:vMerge w:val="restart"/>
            <w:vAlign w:val="center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FUNDAMENTO DA INFRAÇÃO (PDCL)</w:t>
            </w:r>
          </w:p>
        </w:tc>
        <w:tc>
          <w:tcPr>
            <w:tcW w:type="dxa" w:w="2246"/>
            <w:vMerge w:val="restart"/>
            <w:vAlign w:val="center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DETERMINAÇÃO</w:t>
            </w:r>
          </w:p>
        </w:tc>
      </w:tr>
      <w:tr>
        <w:tc>
          <w:tcPr>
            <w:tcW w:type="dxa" w:w="2016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IDENTIFICAÇÃO</w:t>
            </w:r>
          </w:p>
        </w:tc>
        <w:tc>
          <w:tcPr>
            <w:tcW w:type="dxa" w:w="2016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DESCRIÇÃO</w:t>
            </w:r>
          </w:p>
        </w:tc>
        <w:tc>
          <w:tcPr>
            <w:tcW w:type="dxa" w:w="2094"/>
            <w:vMerge/>
          </w:tcPr>
          <w:p/>
        </w:tc>
        <w:tc>
          <w:tcPr>
            <w:tcW w:type="dxa" w:w="2094"/>
            <w:vMerge/>
          </w:tcPr>
          <w:p/>
        </w:tc>
        <w:tc>
          <w:tcPr>
            <w:tcW w:type="dxa" w:w="2094"/>
            <w:vMerge/>
          </w:tcPr>
          <w:p/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Aptos" w:hAnsi="Aptos"/>
                <w:sz w:val="20"/>
              </w:rPr>
              <w:t>CIMENTO NÃO POSICIONADO NA SACADA</w:t>
            </w:r>
          </w:p>
        </w:tc>
        <w:tc>
          <w:tcPr>
            <w:tcW w:type="dxa" w:w="175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Fotos 1.1, 1.2, 1.3, 1.4, 1.5, 1.6, 1.7, 1.8, 1.9 e 2.0</w:t>
            </w:r>
          </w:p>
        </w:tc>
        <w:tc>
          <w:tcPr>
            <w:tcW w:type="dxa" w:w="243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24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Aptos" w:hAnsi="Aptos"/>
                <w:sz w:val="20"/>
              </w:rPr>
              <w:t>Infiltração na coluna de sustentação da estrutura metálica da área de embarque e desembarque do Terminal do Recife (TIP), conforme evidenciado nas fotos 01 e 02, a seguir!!!!!!!</w:t>
            </w:r>
          </w:p>
        </w:tc>
        <w:tc>
          <w:tcPr>
            <w:tcW w:type="dxa" w:w="175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Foto 1.1</w:t>
            </w:r>
          </w:p>
        </w:tc>
        <w:tc>
          <w:tcPr>
            <w:tcW w:type="dxa" w:w="243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24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Aptos" w:hAnsi="Aptos"/>
                <w:sz w:val="20"/>
              </w:rPr>
              <w:t>Falta de manutenção adequada no banheiro feminino para PCD localizado no primeiro andar do Terminal do Recife (TIP), conforme detalhado.</w:t>
            </w:r>
          </w:p>
        </w:tc>
        <w:tc>
          <w:tcPr>
            <w:tcW w:type="dxa" w:w="175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Foto 1.1</w:t>
            </w:r>
          </w:p>
        </w:tc>
        <w:tc>
          <w:tcPr>
            <w:tcW w:type="dxa" w:w="243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24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Aptos" w:hAnsi="Aptos"/>
                <w:sz w:val="20"/>
              </w:rPr>
              <w:t>Espelho oxidado, conforme evidenciado na foto 03, a seguir.</w:t>
            </w:r>
          </w:p>
        </w:tc>
        <w:tc>
          <w:tcPr>
            <w:tcW w:type="dxa" w:w="175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Foto 1.2</w:t>
            </w:r>
          </w:p>
        </w:tc>
        <w:tc>
          <w:tcPr>
            <w:tcW w:type="dxa" w:w="243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24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Aptos" w:hAnsi="Aptos"/>
                <w:sz w:val="20"/>
              </w:rPr>
              <w:t>Barra oxidada em torno da pian cofnorme foto 01 e foto 02.</w:t>
            </w:r>
          </w:p>
        </w:tc>
        <w:tc>
          <w:tcPr>
            <w:tcW w:type="dxa" w:w="175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Foto 1.3</w:t>
            </w:r>
          </w:p>
        </w:tc>
        <w:tc>
          <w:tcPr>
            <w:tcW w:type="dxa" w:w="243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24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Aptos" w:hAnsi="Aptos"/>
                <w:sz w:val="20"/>
              </w:rPr>
              <w:t>Barra de apoio vertical oxidada, conforme foto 04, a seguir.</w:t>
            </w:r>
          </w:p>
        </w:tc>
        <w:tc>
          <w:tcPr>
            <w:tcW w:type="dxa" w:w="175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Foto 1.4</w:t>
            </w:r>
          </w:p>
        </w:tc>
        <w:tc>
          <w:tcPr>
            <w:tcW w:type="dxa" w:w="243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24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Aptos" w:hAnsi="Aptos"/>
                <w:sz w:val="20"/>
              </w:rPr>
              <w:t>Piso desgastado na entrada do banheiro feminino do TIP em 20/03/2025;</w:t>
            </w:r>
          </w:p>
        </w:tc>
        <w:tc>
          <w:tcPr>
            <w:tcW w:type="dxa" w:w="175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Fotos 1.0, 1.1, 1.11, 1.12, 1.13, 1.14, 1.15, 1.16, 1.17, 1.18, 1.19, 1.2, 1.21, 1.22, 1.23, 1.24, 1.3, 1.4, 1.5, 1.6, 1.7, 1.8 e 1.9</w:t>
            </w:r>
          </w:p>
        </w:tc>
        <w:tc>
          <w:tcPr>
            <w:tcW w:type="dxa" w:w="243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24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</w:tr>
    </w:tbl>
    <w:p/>
    <w:p>
      <w:pPr>
        <w:spacing w:after="120"/>
        <w:jc w:val="center"/>
      </w:pPr>
      <w:r>
        <w:rPr>
          <w:rFonts w:ascii="Aptos" w:hAnsi="Aptos"/>
          <w:b/>
          <w:sz w:val="22"/>
        </w:rPr>
        <w:t>Quadro 3</w:t>
      </w:r>
      <w:r>
        <w:rPr>
          <w:rFonts w:ascii="Aptos" w:hAnsi="Aptos"/>
          <w:sz w:val="22"/>
        </w:rPr>
        <w:t xml:space="preserve"> – Pontos de Atenção por Rodovia/Sentido</w:t>
      </w:r>
    </w:p>
    <w:p>
      <w:pPr>
        <w:jc w:val="center"/>
      </w:pPr>
      <w:r>
        <w:rPr>
          <w:rFonts w:ascii="Aptos" w:hAnsi="Aptos"/>
          <w:sz w:val="20"/>
        </w:rPr>
        <w:t>Nenhum registro encontrado.</w:t>
      </w:r>
    </w:p>
    <w:p/>
    <w:p/>
    <w:p/>
    <w:p/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6. DETERMINAÇÕES GERAIS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Considerando os dispositivos contratuais pertinentes e visando garantir a qualidade dos serviços prestados, determina-se que a CRA tome as seguintes medidas através de um plano de ação:</w:t>
      </w:r>
    </w:p>
    <w:p>
      <w:pPr>
        <w:spacing w:after="120" w:line="276" w:lineRule="auto"/>
        <w:jc w:val="both"/>
      </w:pPr>
      <w:r>
        <w:rPr>
          <w:rFonts w:ascii="Aptos" w:hAnsi="Aptos"/>
          <w:b/>
          <w:sz w:val="22"/>
        </w:rPr>
        <w:t>Medidas de Manutenção / Conservação,</w:t>
      </w:r>
      <w:r>
        <w:rPr>
          <w:rFonts w:ascii="Aptos" w:hAnsi="Aptos"/>
          <w:sz w:val="22"/>
        </w:rPr>
        <w:t xml:space="preserve"> detalhando cronograma com trechos a executar de forma que permita à Arpe uma programação mais efetiva do monitoramento de suas soluções a execução de cada subtrecho, conforme o modelo encaminhado para {ano_anterior} (Cronograma de Conserva Especial do Pavimento CRA {ano_anterior}).</w:t>
      </w:r>
    </w:p>
    <w:p>
      <w:pPr>
        <w:spacing w:after="120" w:line="276" w:lineRule="auto"/>
        <w:jc w:val="both"/>
      </w:pPr>
      <w:r>
        <w:rPr>
          <w:rFonts w:ascii="Aptos" w:hAnsi="Aptos"/>
          <w:b/>
          <w:sz w:val="22"/>
        </w:rPr>
        <w:t>Medidas imediatas</w:t>
      </w:r>
      <w:r>
        <w:rPr>
          <w:rFonts w:ascii="Aptos" w:hAnsi="Aptos"/>
          <w:sz w:val="22"/>
        </w:rPr>
        <w:t xml:space="preserve"> resolutividade das NC de Sinalização, nos prazos estabelecidos no subitem 4.1.3.3.2.4. Tachas e Tachões Refletivos do PDCL, conforme disposto no Quadro 1, na coluna denominada Determinações.</w:t>
      </w:r>
    </w:p>
    <w:p/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7. RECOMENDAÇÕES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Considerando as disposições do Contrato de Concessão, em especial, o Anexo IV - PDCL, Outras Sinalizações, dados do Relatório Anual 01 de novembro/2025 elaborado VI, e outras legislação aplicável, devem ser observadas pela CRA as seguintes recomendações:</w:t>
      </w:r>
    </w:p>
    <w:p>
      <w:pPr>
        <w:spacing w:after="120" w:line="276" w:lineRule="auto"/>
        <w:ind w:left="36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Levantar a necessidade de reposição da SINALIZAÇÃO por tachas e tachões em todo o complexo viário Express Way,  em especial a retirada das tachar anteriores danificadas que podem causar risco a segurança dos usuários. O vi verificou deficiências em todos os trechos.</w:t>
      </w:r>
    </w:p>
    <w:p/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8. CONCLUSÕES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Tendo em vista as ações de fiscalização realizadas pela Arpe foram constatadas zero (0) pontos ou trechos fiscalizados que apresentaram Não Conformidades distribuídas majoritariamente na PE 009, estas foram analisadas e caracterizadas a partir dos indicadores do Grupo Condição de Superfície definidos no Contrato de Concessão CT. nº 043/2011.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Assim considerando a Programação de Conserva Especial do Pavimento - CRA 2025, solicita-se a inclusão destas não conformidades no cronograma detalhado de Conserva Especial do Pavimento que permita à Arpe uma realização mais efetiva dos monitoramentos ao longo de 2025.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Recomenda-se, por fim, o encaminhamento deste Relatório de Fiscalização para que Suape, na qualidade de Gestor do Contrato e Regulador desse Sistema Viário, realize as providências cabíveis junto à Concessionária Rota do Atlântico com o objetivo de garantir a regularização das Não Conformidades pendentes apontadas por esta Agência de Regulação.</w:t>
      </w:r>
    </w:p>
    <w:p>
      <w:pPr>
        <w:pStyle w:val="Heading3"/>
        <w:pageBreakBefore/>
        <w:spacing w:before="160" w:after="80"/>
      </w:pPr>
      <w:r>
        <w:rPr>
          <w:rFonts w:ascii="Aptos" w:hAnsi="Aptos"/>
          <w:b/>
          <w:color w:val="000000"/>
          <w:sz w:val="24"/>
        </w:rPr>
        <w:t>APÊNDICE A – REGISTROS FOTOGRÁFICOS DAS NÃO CONFORMIDADES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10469"/>
            <w:gridSpan w:val="2"/>
          </w:tcPr>
          <w:p>
            <w:pPr>
              <w:spacing w:before="120" w:after="120"/>
              <w:jc w:val="center"/>
            </w:pPr>
            <w:r>
              <w:rPr>
                <w:rFonts w:ascii="Aptos" w:hAnsi="Aptos"/>
                <w:b/>
                <w:sz w:val="22"/>
              </w:rPr>
              <w:t>Terminal Rodoviário do Recife - TIP, Pista sentido Única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(11/06/2025).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1.2 – Infiltração em coluna de sustentação do Terminal do recife, (11/06/2025).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1.3 – Infiltração em coluna de sustentação do Terminal do recife, (11/06/2025).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1.4 – Infiltração em coluna de sustentação do Terminal do recife, (11/06/2025).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1.5 – Infiltração em coluna de sustentação do Terminal do recife, (11/06/2025).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1.6 – Infiltração em coluna de sustentação do Terminal do recife, (11/06/2025).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1.7 – Infiltração em coluna de sustentação do Terminal do recife, (11/06/2025).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1.8 – Infiltração em coluna de sustentação do Terminal do recife, (11/06/2025).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1.9 – Infiltração em coluna de sustentação do Terminal do recife, (11/06/2025).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2.0 – Infiltração em coluna de sustentação do Terminal do recife, (11/06/2025).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(11/06/2025).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(11/06/2025).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(11/06/2025).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(11/06/2025).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(11/06/2025).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(11/06/2025).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(11/06/2025).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(11/06/2025).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(11/06/2025).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(11/06/2025).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(11/06/2025).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(11/06/2025).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(11/06/2025).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(11/06/2025).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(11/06/2025).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(11/06/2025).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(11/06/2025).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 em 20/03/2025.;Piso desgastado conforme evidência da foto 04., (11/06/2025).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nan, (11/06/2025).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1.2 – nan, (11/06/2025).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1.3 – nan, (11/06/2025).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1.4 – Espelho e barra em torno da pia oxidados no banehiro feminino PCD do Terminal de Recife, 20/03/2025;Infiltração em coluna de sustentação do Terminal do Recife em 20/03/2025, (11/06/2025).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1.5 – Piso desgastado conforme evidência da foto 04., (11/06/2025).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1.6 – Piso desgastado conforme evidência da foto 04., (11/06/2025).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1.7 – Piso desgastado conforme evidência da foto 04., (11/06/2025).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1.8 – Piso desgastado conforme evidência da foto 04., (11/06/2025).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1.9 – Piso desgastado conforme evidência da foto 04., (11/06/2025).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Piso desgastado conforme evidência da foto 04., (11/06/2025).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1.11 – Piso desgastado conforme evidência da foto 04., (11/06/2025).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1.12 – Piso desgastado conforme evidência da foto 04., (11/06/2025).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1.13 – Piso desgastado conforme evidência da foto 04., (11/06/2025).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1.14 – Piso desgastado conforme evidência da foto 04., (11/06/2025).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1.15 – Piso desgastado conforme evidência da foto 04., (11/06/2025).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1.16 – Piso desgastado conforme evidência da foto 04., (11/06/2025).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1.17 – Piso desgastado conforme evidência da foto 04., (11/06/2025).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1.18 – Piso desgastado conforme evidência da foto 04., (11/06/2025).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1.19 – Piso desgastado conforme evidência da foto 04., (11/06/2025).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1.2 – Piso desgastado conforme evidência da foto 04., (11/06/2025).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1.21 – Piso desgastado conforme evidência da foto 04., (11/06/2025).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1.22 – Piso desgastado conforme evidência da foto 04., (11/06/2025).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1.23 – Piso desgastado conforme evidência da foto 04., (11/06/2025).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1.24 – Piso desgastado conforme evidência da foto 04., (11/06/2025).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1.0 – Piso desgastado conforme evidência da foto 04.;Segunda legenda qualquer coisa., (11/06/2025).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Piso desgastado conforme evidência da foto 04.;Segunda legenda qualquer coisa., (11/06/2025).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1.2 – Piso desgastado conforme evidência da foto 04.;Segunda legenda qualquer coisa., (11/06/2025).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1.3 – Piso desgastado conforme evidência da foto 04.;Segunda legenda qualquer coisa. ;Piso desgastado conforme evidência da foto 04.;Segunda legenda qualquer coisa. ;Piso desgastado conforme evidência da foto 04.;Segunda legenda qualquer coisa., (11/06/2025).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1.4 – Piso desgastado conforme evidência da foto 04.;Segunda legenda qualquer coisa., (11/06/2025).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1.5 – Piso desgastado conforme evidência da foto 04.;Segunda legenda qualquer coisa., (11/06/2025).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1.6 – nan, (11/06/2025).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1.7 – Piso desgastado conforme evidência da foto 04., (11/06/2025).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1.8 – nan, (11/06/2025).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1.9 – Piso desgastado conforme evidência da foto 04.;Segunda legenda qualquer coisa., (11/06/2025).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Piso desgastado conforme evidência da foto 04.;Segunda legenda qualquer coisa., (11/06/2025).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1.11 – Piso desgastado conforme evidência da foto 04.;Segunda legenda qualquer coisa., (11/06/2025).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1.12 – Piso desgastado conforme evidência da foto 04.;Segunda legenda qualquer coisa., (11/06/2025).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1.13 – Piso desgastado conforme evidência da foto 04.;Segunda legenda qualquer coisa., (11/06/2025).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1.14 – Piso desgastado conforme evidência da foto 04.;Segunda legenda qualquer coisa., (11/06/2025).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1.15 – Piso desgastado conforme evidência da foto 04.;Segunda legenda qualquer coisa., (11/06/2025).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1.16 – Piso desgastado conforme evidência da foto 04.;Segunda legenda qualquer coisa., (11/06/2025).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1.17 – Piso desgastado conforme evidência da foto 04.;Segunda legenda qualquer coisa., (11/06/2025).</w:t>
            </w:r>
          </w:p>
        </w:tc>
      </w:tr>
    </w:tbl>
    <w:p>
      <w:pPr>
        <w:pStyle w:val="Heading3"/>
        <w:pageBreakBefore/>
        <w:spacing w:before="160" w:after="80"/>
      </w:pPr>
      <w:r>
        <w:rPr>
          <w:rFonts w:ascii="Aptos" w:hAnsi="Aptos"/>
          <w:b/>
          <w:color w:val="000000"/>
          <w:sz w:val="24"/>
        </w:rPr>
        <w:t>APÊNDICE B – REGISTROS FOTOGRÁFICOS DAS PONTOS DE ATENÇÃO</w:t>
      </w:r>
    </w:p>
    <w:p>
      <w:r>
        <w:rPr>
          <w:rFonts w:ascii="Aptos" w:hAnsi="Aptos"/>
          <w:sz w:val="22"/>
        </w:rPr>
        <w:t>Nenhum registro fotográfico de ponto de atenção cadastrado.</w:t>
      </w:r>
    </w:p>
    <w:p/>
    <w:p>
      <w:pPr>
        <w:spacing w:before="240" w:after="480"/>
        <w:jc w:val="center"/>
      </w:pPr>
      <w:r>
        <w:rPr>
          <w:rFonts w:ascii="Aptos" w:hAnsi="Aptos"/>
          <w:sz w:val="22"/>
        </w:rPr>
        <w:t>Recife, data da assinatura eletrônica.</w:t>
      </w:r>
    </w:p>
    <w:p/>
    <w:p>
      <w:pPr>
        <w:spacing w:after="0"/>
        <w:jc w:val="center"/>
      </w:pPr>
      <w:r>
        <w:rPr>
          <w:rFonts w:ascii="Aptos" w:hAnsi="Aptos"/>
          <w:b/>
          <w:sz w:val="22"/>
        </w:rPr>
        <w:t>Alcides Vieira</w:t>
      </w:r>
    </w:p>
    <w:p>
      <w:pPr>
        <w:spacing w:after="0"/>
        <w:jc w:val="center"/>
      </w:pPr>
      <w:r>
        <w:rPr>
          <w:rFonts w:ascii="Aptos" w:hAnsi="Aptos"/>
          <w:sz w:val="22"/>
        </w:rPr>
        <w:t>Analista de Regulação</w:t>
      </w:r>
    </w:p>
    <w:p>
      <w:pPr>
        <w:spacing w:after="240"/>
        <w:jc w:val="center"/>
      </w:pPr>
      <w:r>
        <w:rPr>
          <w:rFonts w:ascii="Aptos" w:hAnsi="Aptos"/>
          <w:sz w:val="22"/>
        </w:rPr>
        <w:t>Matrícula nº xxxxxxx/xx</w:t>
      </w:r>
    </w:p>
    <w:p/>
    <w:p>
      <w:pPr>
        <w:spacing w:after="0"/>
        <w:jc w:val="center"/>
      </w:pPr>
      <w:r>
        <w:rPr>
          <w:rFonts w:ascii="Aptos" w:hAnsi="Aptos"/>
          <w:b/>
          <w:sz w:val="22"/>
        </w:rPr>
        <w:t>Enildo Manoel</w:t>
      </w:r>
    </w:p>
    <w:p>
      <w:pPr>
        <w:spacing w:after="0"/>
        <w:jc w:val="center"/>
      </w:pPr>
      <w:r>
        <w:rPr>
          <w:rFonts w:ascii="Aptos" w:hAnsi="Aptos"/>
          <w:sz w:val="22"/>
        </w:rPr>
        <w:t>Analista de Regulação</w:t>
      </w:r>
    </w:p>
    <w:p>
      <w:pPr>
        <w:spacing w:after="240"/>
        <w:jc w:val="center"/>
      </w:pPr>
      <w:r>
        <w:rPr>
          <w:rFonts w:ascii="Aptos" w:hAnsi="Aptos"/>
          <w:sz w:val="22"/>
        </w:rPr>
        <w:t>Matrícula nº xxxxxxx/xx</w:t>
      </w:r>
    </w:p>
    <w:p/>
    <w:p>
      <w:pPr>
        <w:spacing w:before="720" w:after="720"/>
        <w:jc w:val="center"/>
      </w:pPr>
      <w:r>
        <w:rPr>
          <w:rFonts w:ascii="Aptos" w:hAnsi="Aptos"/>
          <w:sz w:val="22"/>
        </w:rPr>
        <w:t>Ciente e de acordo.</w:t>
      </w:r>
    </w:p>
    <w:p>
      <w:pPr>
        <w:spacing w:after="0"/>
        <w:jc w:val="center"/>
      </w:pPr>
      <w:r>
        <w:rPr>
          <w:rFonts w:ascii="Aptos" w:hAnsi="Aptos"/>
          <w:b/>
          <w:sz w:val="22"/>
        </w:rPr>
        <w:t>Maria Ângela Albuquerque de Freitas</w:t>
      </w:r>
    </w:p>
    <w:p>
      <w:pPr>
        <w:spacing w:after="0"/>
        <w:jc w:val="center"/>
      </w:pPr>
      <w:r>
        <w:rPr>
          <w:rFonts w:ascii="Aptos" w:hAnsi="Aptos"/>
          <w:sz w:val="22"/>
        </w:rPr>
        <w:t>Coordenadora de Transportes e Rodovias</w:t>
      </w:r>
    </w:p>
    <w:p>
      <w:pPr>
        <w:spacing w:after="240"/>
        <w:jc w:val="center"/>
      </w:pPr>
      <w:r>
        <w:rPr>
          <w:rFonts w:ascii="Aptos" w:hAnsi="Aptos"/>
          <w:sz w:val="22"/>
        </w:rPr>
        <w:t>Matrícula nº 209640/01</w:t>
      </w:r>
    </w:p>
    <w:sectPr w:rsidR="00FC693F" w:rsidRPr="0006063C" w:rsidSect="00034616">
      <w:pgSz w:w="11909" w:h="1683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