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69"/>
      </w:tblGrid>
      <w:tr>
        <w:trPr>
          <w:trHeight w:val="567"/>
        </w:trPr>
        <w:tc>
          <w:tcPr>
            <w:tcW w:type="dxa" w:w="10469"/>
            <w:vAlign w:val="center"/>
            <w:shd w:val="clear" w:color="auto" w:fill="D9D9D9"/>
          </w:tcPr>
          <w:p>
            <w:pPr>
              <w:spacing w:before="0" w:after="0"/>
              <w:jc w:val="center"/>
            </w:pPr>
            <w:r>
              <w:rPr>
                <w:b/>
              </w:rPr>
              <w:t>RELATÓRIO DE FISCALIZAÇÃO PROCESSO ADMINISTRATIVO CTR Nº 01/2025</w:t>
            </w:r>
          </w:p>
        </w:tc>
      </w:tr>
    </w:tbl>
    <w:p>
      <w:pPr>
        <w:jc w:val="center"/>
      </w:pPr>
      <w:r>
        <w:drawing>
          <wp:inline xmlns:a="http://schemas.openxmlformats.org/drawingml/2006/main" xmlns:pic="http://schemas.openxmlformats.org/drawingml/2006/picture">
            <wp:extent cx="3657600" cy="3019552"/>
            <wp:docPr id="1" name="Picture 1"/>
            <wp:cNvGraphicFramePr>
              <a:graphicFrameLocks noChangeAspect="1"/>
            </wp:cNvGraphicFramePr>
            <a:graphic>
              <a:graphicData uri="http://schemas.openxmlformats.org/drawingml/2006/picture">
                <pic:pic>
                  <pic:nvPicPr>
                    <pic:cNvPr id="0" name="capa_2.jpeg"/>
                    <pic:cNvPicPr/>
                  </pic:nvPicPr>
                  <pic:blipFill>
                    <a:blip r:embed="rId9"/>
                    <a:stretch>
                      <a:fillRect/>
                    </a:stretch>
                  </pic:blipFill>
                  <pic:spPr>
                    <a:xfrm>
                      <a:off x="0" y="0"/>
                      <a:ext cx="3657600" cy="3019552"/>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07/2025 -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b/>
          <w:sz w:val="28"/>
        </w:rPr>
        <w:t>SUMÁRIO</w:t>
      </w:r>
    </w:p>
    <w:p>
      <w:pPr>
        <w:tabs>
          <w:tab w:pos="720" w:val="left"/>
          <w:tab w:pos="10469" w:val="right" w:leader="dot"/>
        </w:tabs>
        <w:spacing w:after="120"/>
      </w:pPr>
      <w:r>
        <w:rPr>
          <w:rFonts w:ascii="Aptos" w:hAnsi="Aptos"/>
          <w:b/>
          <w:sz w:val="22"/>
        </w:rPr>
        <w:t>1.</w:t>
      </w:r>
      <w:r>
        <w:tab/>
      </w:r>
      <w:r>
        <w:rPr>
          <w:rFonts w:ascii="Aptos" w:hAnsi="Aptos"/>
          <w:b/>
          <w:sz w:val="22"/>
        </w:rPr>
        <w:t>INTRODUÇÃO</w:t>
      </w:r>
      <w:r>
        <w:rPr>
          <w:rFonts w:ascii="Aptos" w:hAnsi="Aptos"/>
          <w:b/>
          <w:sz w:val="22"/>
        </w:rPr>
        <w:tab/>
        <w:t>4</w:t>
      </w:r>
    </w:p>
    <w:p>
      <w:pPr>
        <w:tabs>
          <w:tab w:pos="720" w:val="left"/>
          <w:tab w:pos="10469" w:val="right" w:leader="dot"/>
        </w:tabs>
        <w:spacing w:after="120"/>
      </w:pPr>
      <w:r>
        <w:rPr>
          <w:rFonts w:ascii="Aptos" w:hAnsi="Aptos"/>
          <w:b/>
          <w:sz w:val="22"/>
        </w:rPr>
        <w:t>2.</w:t>
      </w:r>
      <w:r>
        <w:tab/>
      </w:r>
      <w:r>
        <w:rPr>
          <w:rFonts w:ascii="Aptos" w:hAnsi="Aptos"/>
          <w:b/>
          <w:sz w:val="22"/>
        </w:rPr>
        <w:t>OBJETIVO</w:t>
      </w:r>
      <w:r>
        <w:rPr>
          <w:rFonts w:ascii="Aptos" w:hAnsi="Aptos"/>
          <w:b/>
          <w:sz w:val="22"/>
        </w:rPr>
        <w:tab/>
        <w:t>4</w:t>
      </w:r>
    </w:p>
    <w:p>
      <w:pPr>
        <w:tabs>
          <w:tab w:pos="720" w:val="left"/>
          <w:tab w:pos="10469" w:val="right" w:leader="dot"/>
        </w:tabs>
        <w:spacing w:after="120"/>
      </w:pPr>
      <w:r>
        <w:rPr>
          <w:rFonts w:ascii="Aptos" w:hAnsi="Aptos"/>
          <w:b/>
          <w:sz w:val="22"/>
        </w:rPr>
        <w:t>3.</w:t>
      </w:r>
      <w:r>
        <w:tab/>
      </w:r>
      <w:r>
        <w:rPr>
          <w:rFonts w:ascii="Aptos" w:hAnsi="Aptos"/>
          <w:b/>
          <w:sz w:val="22"/>
        </w:rPr>
        <w:t>METODOLOGIA</w:t>
      </w:r>
      <w:r>
        <w:rPr>
          <w:rFonts w:ascii="Aptos" w:hAnsi="Aptos"/>
          <w:b/>
          <w:sz w:val="22"/>
        </w:rPr>
        <w:tab/>
        <w:t>5</w:t>
      </w:r>
    </w:p>
    <w:p>
      <w:pPr>
        <w:tabs>
          <w:tab w:pos="720" w:val="left"/>
          <w:tab w:pos="10469" w:val="right" w:leader="dot"/>
        </w:tabs>
        <w:spacing w:after="120"/>
      </w:pPr>
      <w:r>
        <w:rPr>
          <w:rFonts w:ascii="Aptos" w:hAnsi="Aptos"/>
          <w:b/>
          <w:sz w:val="22"/>
        </w:rPr>
        <w:t>4.</w:t>
      </w:r>
      <w:r>
        <w:tab/>
      </w:r>
      <w:r>
        <w:rPr>
          <w:rFonts w:ascii="Aptos" w:hAnsi="Aptos"/>
          <w:b/>
          <w:sz w:val="22"/>
        </w:rPr>
        <w:t>FISCALIZAÇÃO</w:t>
      </w:r>
      <w:r>
        <w:rPr>
          <w:rFonts w:ascii="Aptos" w:hAnsi="Aptos"/>
          <w:b/>
          <w:sz w:val="22"/>
        </w:rPr>
        <w:tab/>
        <w:t>7</w:t>
      </w:r>
    </w:p>
    <w:p>
      <w:pPr>
        <w:tabs>
          <w:tab w:pos="720" w:val="left"/>
          <w:tab w:pos="10469" w:val="right" w:leader="dot"/>
        </w:tabs>
        <w:spacing w:after="120"/>
      </w:pPr>
      <w:r>
        <w:rPr>
          <w:rFonts w:ascii="Aptos" w:hAnsi="Aptos"/>
          <w:b/>
          <w:sz w:val="22"/>
        </w:rPr>
        <w:t>5.</w:t>
      </w:r>
      <w:r>
        <w:tab/>
      </w:r>
      <w:r>
        <w:rPr>
          <w:rFonts w:ascii="Aptos" w:hAnsi="Aptos"/>
          <w:b/>
          <w:sz w:val="22"/>
        </w:rPr>
        <w:t>DETERMINAÇÕES GERAIS</w:t>
      </w:r>
      <w:r>
        <w:rPr>
          <w:rFonts w:ascii="Aptos" w:hAnsi="Aptos"/>
          <w:b/>
          <w:sz w:val="22"/>
        </w:rPr>
        <w:tab/>
        <w:t>11</w:t>
      </w:r>
    </w:p>
    <w:p>
      <w:pPr>
        <w:tabs>
          <w:tab w:pos="720" w:val="left"/>
          <w:tab w:pos="10469" w:val="right" w:leader="dot"/>
        </w:tabs>
        <w:spacing w:after="120"/>
      </w:pPr>
      <w:r>
        <w:rPr>
          <w:rFonts w:ascii="Aptos" w:hAnsi="Aptos"/>
          <w:b/>
          <w:sz w:val="22"/>
        </w:rPr>
        <w:t>6.</w:t>
      </w:r>
      <w:r>
        <w:tab/>
      </w:r>
      <w:r>
        <w:rPr>
          <w:rFonts w:ascii="Aptos" w:hAnsi="Aptos"/>
          <w:b/>
          <w:sz w:val="22"/>
        </w:rPr>
        <w:t>RECOMENDAÇÕES</w:t>
      </w:r>
      <w:r>
        <w:rPr>
          <w:rFonts w:ascii="Aptos" w:hAnsi="Aptos"/>
          <w:b/>
          <w:sz w:val="22"/>
        </w:rPr>
        <w:tab/>
        <w:t>11</w:t>
      </w:r>
    </w:p>
    <w:p>
      <w:pPr>
        <w:tabs>
          <w:tab w:pos="720" w:val="left"/>
          <w:tab w:pos="10469" w:val="right" w:leader="dot"/>
        </w:tabs>
        <w:spacing w:after="120"/>
      </w:pPr>
      <w:r>
        <w:rPr>
          <w:rFonts w:ascii="Aptos" w:hAnsi="Aptos"/>
          <w:b/>
          <w:sz w:val="22"/>
        </w:rPr>
        <w:t>7.</w:t>
      </w:r>
      <w:r>
        <w:tab/>
      </w:r>
      <w:r>
        <w:rPr>
          <w:rFonts w:ascii="Aptos" w:hAnsi="Aptos"/>
          <w:b/>
          <w:sz w:val="22"/>
        </w:rPr>
        <w:t>CONCLUSÕES</w:t>
      </w:r>
      <w:r>
        <w:rPr>
          <w:rFonts w:ascii="Aptos" w:hAnsi="Aptos"/>
          <w:b/>
          <w:sz w:val="22"/>
        </w:rPr>
        <w:tab/>
        <w:t>11</w:t>
      </w:r>
    </w:p>
    <w:p>
      <w:pPr>
        <w:tabs>
          <w:tab w:pos="720" w:val="left"/>
          <w:tab w:pos="10469" w:val="right" w:leader="dot"/>
        </w:tabs>
        <w:spacing w:after="120"/>
      </w:pPr>
      <w:r>
        <w:tab/>
      </w:r>
      <w:r>
        <w:rPr>
          <w:rFonts w:ascii="Aptos" w:hAnsi="Aptos"/>
          <w:b/>
          <w:sz w:val="22"/>
        </w:rPr>
        <w:t>APÊNDICE ÚNICO  – REGISTROS FOTOGRÁFICOS DAS NÃO CONFORMIDADES</w:t>
      </w:r>
      <w:r>
        <w:rPr>
          <w:rFonts w:ascii="Aptos" w:hAnsi="Aptos"/>
          <w:b/>
          <w:sz w:val="22"/>
        </w:rPr>
        <w:tab/>
        <w:t>12</w:t>
      </w:r>
    </w:p>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8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spacing w:before="240" w:after="240"/>
        <w:jc w:val="both"/>
      </w:pPr>
      <w:r>
        <w:rPr>
          <w:rFonts w:ascii="Aptos" w:hAnsi="Aptos"/>
          <w:b/>
          <w:sz w:val="24"/>
        </w:rPr>
        <w:t>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2.1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2.2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2.3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2.4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01/05/2031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3.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4.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8 de junho de 2025. Nessas ações foram identificados 10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sz w:val="22"/>
        </w:rPr>
        <w:t>Os trechos com Não Conformidades registradas no Quadro 1 e Quadro 2,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Quadro 1 – Aplicação dos Critérios de Elegibilidade Relativos ao Pavimento PE009</w:t>
      </w:r>
    </w:p>
    <w:p>
      <w:pPr>
        <w:spacing w:after="120" w:line="276" w:lineRule="auto"/>
        <w:jc w:val="both"/>
      </w:pPr>
      <w:r>
        <w:rPr>
          <w:rFonts w:ascii="Aptos" w:hAnsi="Aptos"/>
          <w:sz w:val="22"/>
        </w:rPr>
        <w:t>Quadro 2 – Aplicação dos Critérios de Elegibilidade Relativos ao Pavimento VPE034</w:t>
      </w:r>
    </w:p>
    <w:p>
      <w:pPr>
        <w:spacing w:after="120" w:line="276" w:lineRule="auto"/>
        <w:jc w:val="both"/>
      </w:pPr>
      <w:r>
        <w:rPr>
          <w:rFonts w:ascii="Aptos" w:hAnsi="Aptos"/>
          <w:sz w:val="22"/>
        </w:rPr>
        <w:t>Visando garantir um pavimento de qualidade com a trafegabilidade e segurança viária para os usuários sugere-se que os Pontos de Atenção registrados no Quadro 3 sejam, tratados pela concessionaria. A seguir, estão associados aos respectivos subtrechos, possuem índices de Índice de Gravidade Global (IGG) e/ou Índice de Irregularidade Longitudinal (IRI) que não ultrapassaram o limite máximos previstos constantes do Relatório Anual 01 de novembro/2025 elaborado pelo Verificador Independente.</w:t>
      </w:r>
    </w:p>
    <w:p/>
    <w:p>
      <w:pPr>
        <w:spacing w:after="120" w:line="276" w:lineRule="auto"/>
        <w:jc w:val="both"/>
      </w:pPr>
      <w:r>
        <w:rPr>
          <w:rFonts w:ascii="Aptos" w:hAnsi="Aptos"/>
          <w:sz w:val="22"/>
        </w:rPr>
        <w:t>Quadro 3 – Trecho dos pontos de Atenção:</w:t>
      </w:r>
    </w:p>
    <w:p>
      <w:pPr>
        <w:spacing w:after="120" w:line="276" w:lineRule="auto"/>
        <w:jc w:val="both"/>
      </w:pPr>
      <w:r>
        <w:rPr>
          <w:rFonts w:ascii="Aptos" w:hAnsi="Aptos"/>
          <w:sz w:val="22"/>
        </w:rPr>
        <w:t xml:space="preserve">O Quadro 4, a seguir, resume as Não Conformidades constatadas, relacionadas ao PDCL, com indicação dos respectivos registros fotográficos no </w:t>
      </w:r>
      <w:r>
        <w:rPr>
          <w:rFonts w:ascii="Aptos" w:hAnsi="Aptos"/>
          <w:b/>
          <w:sz w:val="22"/>
        </w:rPr>
        <w:t>Apêndice A</w:t>
      </w:r>
      <w:r>
        <w:rPr>
          <w:rFonts w:ascii="Aptos" w:hAnsi="Aptos"/>
          <w:sz w:val="22"/>
        </w:rPr>
        <w:t xml:space="preserve"> e Pontos de Atenção respectivos registros fotográficos no </w:t>
      </w:r>
      <w:r>
        <w:rPr>
          <w:rFonts w:ascii="Aptos" w:hAnsi="Aptos"/>
          <w:b/>
          <w:sz w:val="22"/>
        </w:rPr>
        <w:t>Apêndice B</w:t>
      </w:r>
      <w:r>
        <w:rPr>
          <w:rFonts w:ascii="Aptos" w:hAnsi="Aptos"/>
          <w:sz w:val="22"/>
        </w:rPr>
        <w:t>. A descrição da evidência está referenciada conforme a norma de descrição de defeitos do DNIT.</w:t>
      </w:r>
    </w:p>
    <w:p>
      <w:pPr>
        <w:spacing w:after="120"/>
        <w:jc w:val="center"/>
      </w:pPr>
      <w:r>
        <w:rPr>
          <w:rFonts w:ascii="Aptos" w:hAnsi="Aptos"/>
          <w:b/>
          <w:sz w:val="22"/>
        </w:rPr>
        <w:t>Quadro 4</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CIMENTO NÃO POSICIONADO NA SACADA</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1.2, 1.3, 1.4, 1.5, 1.6, 1.7, 1.8, 1.9 e 2.0</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bl>
    <w:p/>
    <w:p>
      <w:pPr>
        <w:spacing w:after="120"/>
        <w:jc w:val="center"/>
      </w:pPr>
      <w:r>
        <w:rPr>
          <w:rFonts w:ascii="Aptos" w:hAnsi="Aptos"/>
          <w:b/>
          <w:sz w:val="22"/>
        </w:rPr>
        <w:t>Quadro 5</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5.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6.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7. CONCLUSÕES</w:t>
      </w:r>
    </w:p>
    <w:p/>
    <w:p>
      <w:pPr>
        <w:spacing w:after="120" w:line="276" w:lineRule="auto"/>
        <w:jc w:val="both"/>
      </w:pPr>
      <w:r>
        <w:rPr>
          <w:rFonts w:ascii="Aptos" w:hAnsi="Aptos"/>
          <w:sz w:val="22"/>
        </w:rPr>
        <w:t>Tendo em vista as ações de fiscalização realizadas pela Arpe foram constatadas dez (10)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1.2 – Trecho  apresentando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1.3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1.4 – Trecho  apresentando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1.5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1.6 – Trecho  apresentando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1.7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1.8 – Trecho  apresentando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1.9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2.0 – Trecho  apresentando Infiltração em coluna de sustentação do Terminal do recife, (08/06/2025).</w:t>
            </w: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