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469"/>
      </w:tblGrid>
      <w:tr>
        <w:trPr>
          <w:trHeight w:val="567"/>
        </w:trPr>
        <w:tc>
          <w:tcPr>
            <w:tcW w:type="dxa" w:w="10469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b/>
              </w:rPr>
              <w:t>RELATÓRIO DE FISCALIZAÇÃO PROCESSO ADMINISTRATIVO CTR Nº 01/2025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019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apa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1955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07/2025 -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b/>
          <w:sz w:val="28"/>
        </w:rPr>
        <w:t>SUMÁRIO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1.</w:t>
      </w:r>
      <w:r>
        <w:tab/>
      </w:r>
      <w:r>
        <w:rPr>
          <w:rFonts w:ascii="Aptos" w:hAnsi="Aptos"/>
          <w:b/>
          <w:sz w:val="22"/>
        </w:rPr>
        <w:t>INTRODUÇÃO</w:t>
      </w:r>
      <w:r>
        <w:rPr>
          <w:rFonts w:ascii="Aptos" w:hAnsi="Aptos"/>
          <w:b/>
          <w:sz w:val="22"/>
        </w:rPr>
        <w:tab/>
        <w:t>4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2.</w:t>
      </w:r>
      <w:r>
        <w:tab/>
      </w:r>
      <w:r>
        <w:rPr>
          <w:rFonts w:ascii="Aptos" w:hAnsi="Aptos"/>
          <w:b/>
          <w:sz w:val="22"/>
        </w:rPr>
        <w:t>OBJETIVO</w:t>
      </w:r>
      <w:r>
        <w:rPr>
          <w:rFonts w:ascii="Aptos" w:hAnsi="Aptos"/>
          <w:b/>
          <w:sz w:val="22"/>
        </w:rPr>
        <w:tab/>
        <w:t>4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3.</w:t>
      </w:r>
      <w:r>
        <w:tab/>
      </w:r>
      <w:r>
        <w:rPr>
          <w:rFonts w:ascii="Aptos" w:hAnsi="Aptos"/>
          <w:b/>
          <w:sz w:val="22"/>
        </w:rPr>
        <w:t>METODOLOGIA</w:t>
      </w:r>
      <w:r>
        <w:rPr>
          <w:rFonts w:ascii="Aptos" w:hAnsi="Aptos"/>
          <w:b/>
          <w:sz w:val="22"/>
        </w:rPr>
        <w:tab/>
        <w:t>5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4.</w:t>
      </w:r>
      <w:r>
        <w:tab/>
      </w:r>
      <w:r>
        <w:rPr>
          <w:rFonts w:ascii="Aptos" w:hAnsi="Aptos"/>
          <w:b/>
          <w:sz w:val="22"/>
        </w:rPr>
        <w:t>FISCALIZAÇÃO</w:t>
      </w:r>
      <w:r>
        <w:rPr>
          <w:rFonts w:ascii="Aptos" w:hAnsi="Aptos"/>
          <w:b/>
          <w:sz w:val="22"/>
        </w:rPr>
        <w:tab/>
        <w:t>7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5.</w:t>
      </w:r>
      <w:r>
        <w:tab/>
      </w:r>
      <w:r>
        <w:rPr>
          <w:rFonts w:ascii="Aptos" w:hAnsi="Aptos"/>
          <w:b/>
          <w:sz w:val="22"/>
        </w:rPr>
        <w:t>DETERMINAÇÕES GERAIS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6.</w:t>
      </w:r>
      <w:r>
        <w:tab/>
      </w:r>
      <w:r>
        <w:rPr>
          <w:rFonts w:ascii="Aptos" w:hAnsi="Aptos"/>
          <w:b/>
          <w:sz w:val="22"/>
        </w:rPr>
        <w:t>RECOMENDAÇÕES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800" w:val="right" w:leader="dot"/>
        </w:tabs>
        <w:spacing w:after="120"/>
      </w:pPr>
      <w:r>
        <w:rPr>
          <w:rFonts w:ascii="Aptos" w:hAnsi="Aptos"/>
          <w:b/>
          <w:sz w:val="22"/>
        </w:rPr>
        <w:t>7.</w:t>
      </w:r>
      <w:r>
        <w:tab/>
      </w:r>
      <w:r>
        <w:rPr>
          <w:rFonts w:ascii="Aptos" w:hAnsi="Aptos"/>
          <w:b/>
          <w:sz w:val="22"/>
        </w:rPr>
        <w:t>CONCLUSÕES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800" w:val="right" w:leader="dot"/>
        </w:tabs>
        <w:spacing w:after="120"/>
      </w:pPr>
      <w:r>
        <w:tab/>
      </w:r>
      <w:r>
        <w:rPr>
          <w:rFonts w:ascii="Aptos" w:hAnsi="Aptos"/>
          <w:b/>
          <w:sz w:val="22"/>
        </w:rPr>
        <w:t>APÊNDICE ÚNICO  – REGISTROS FOTOGRÁFICOS DAS NÃO CONFORMIDADES</w:t>
      </w:r>
      <w:r>
        <w:rPr>
          <w:rFonts w:ascii="Aptos" w:hAnsi="Aptos"/>
          <w:b/>
          <w:sz w:val="22"/>
        </w:rPr>
        <w:tab/>
        <w:t>12</w:t>
      </w:r>
    </w:p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10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24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spacing w:before="240" w:after="240"/>
        <w:jc w:val="both"/>
      </w:pPr>
      <w:r>
        <w:rPr>
          <w:rFonts w:ascii="Aptos" w:hAnsi="Aptos"/>
          <w:b/>
          <w:sz w:val="24"/>
        </w:rPr>
        <w:t>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01/05/2033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aspectos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em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</w:rPr>
        <w:t xml:space="preserve">As ações de fiscalização foram realizadas pela equipe formada pelos servidores: </w:t>
      </w:r>
      <w:r>
        <w:rPr>
          <w:rFonts w:ascii="Aptos" w:hAnsi="Aptos"/>
          <w:b/>
        </w:rPr>
        <w:t>Alcides Vieira</w:t>
      </w:r>
      <w:r>
        <w:rPr>
          <w:rFonts w:ascii="Aptos" w:hAnsi="Aptos"/>
        </w:rPr>
        <w:t>, matrícula nº xxxxxxx/xx</w:t>
      </w:r>
      <w:r>
        <w:rPr>
          <w:rFonts w:ascii="Aptos" w:hAnsi="Aptos"/>
        </w:rPr>
        <w:t xml:space="preserve"> e </w:t>
      </w:r>
      <w:r>
        <w:rPr>
          <w:rFonts w:ascii="Aptos" w:hAnsi="Aptos"/>
          <w:b/>
        </w:rPr>
        <w:t>Enildo Manoel</w:t>
      </w:r>
      <w:r>
        <w:rPr>
          <w:rFonts w:ascii="Aptos" w:hAnsi="Aptos"/>
        </w:rPr>
        <w:t>, matrícula nº xxxxxxx/xx</w:t>
      </w:r>
      <w:r>
        <w:rPr>
          <w:rFonts w:ascii="Aptos" w:hAnsi="Aptos"/>
        </w:rPr>
        <w:t xml:space="preserve"> nos dias 10 de junho de 2025. Nessas ações foram identificados 0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 e Quadro 2,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/>
        <w:jc w:val="center"/>
      </w:pPr>
      <w:r>
        <w:rPr>
          <w:rFonts w:ascii="Aptos" w:hAnsi="Aptos"/>
          <w:sz w:val="22"/>
        </w:rPr>
        <w:t>Quadro 1 – Aplicação dos Critérios de Elegibilidade Relativos ao Pavimento PE009</w:t>
      </w:r>
    </w:p>
    <w:p>
      <w:pPr>
        <w:spacing w:after="120"/>
        <w:jc w:val="center"/>
      </w:pPr>
      <w:r>
        <w:rPr>
          <w:rFonts w:ascii="Aptos" w:hAnsi="Aptos"/>
          <w:sz w:val="22"/>
        </w:rPr>
        <w:t>Quadro 2 – Aplicação dos Critérios de Elegibilidade Relativos ao Pavimento VPE034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Visando garantir um pavimento de qualidade com a trafegabilidade e segurança viária para os usuários sugere-se que os Pontos de Atenção registrados no Quadro 3 sejam, tratados pela concessionaria. A seguir, estão associados aos respectivos subtrechos, possuem índices de Índice de Gravidade Global (IGG) e/ou Índice de Irregularidade Longitudinal (IRI) que não ultrapassaram o limite máximos previstos constantes do Relatório Anual 01 de novembro/2025 elaborado pelo Verificador Independente.</w:t>
      </w:r>
    </w:p>
    <w:p/>
    <w:p>
      <w:pPr>
        <w:spacing w:after="120"/>
        <w:jc w:val="center"/>
      </w:pPr>
      <w:r>
        <w:rPr>
          <w:rFonts w:ascii="Aptos" w:hAnsi="Aptos"/>
          <w:sz w:val="22"/>
        </w:rPr>
        <w:t>Quadro 3 – Trecho dos pontos de Atenção: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O </w:t>
      </w:r>
      <w:r>
        <w:rPr>
          <w:rFonts w:ascii="Aptos" w:hAnsi="Aptos"/>
          <w:b/>
          <w:sz w:val="22"/>
        </w:rPr>
        <w:t>Quadro 4</w:t>
      </w:r>
      <w:r>
        <w:rPr>
          <w:rFonts w:ascii="Aptos" w:hAnsi="Aptos"/>
          <w:sz w:val="22"/>
        </w:rPr>
        <w:t xml:space="preserve">, a seguir, resume as Não Conformidades constatadas, relacionadas ao PDCL, com indicação dos respectivos registros fotográficos no </w:t>
      </w:r>
      <w:r>
        <w:rPr>
          <w:rFonts w:ascii="Aptos" w:hAnsi="Aptos"/>
          <w:b/>
          <w:sz w:val="22"/>
        </w:rPr>
        <w:t>Apêndice A</w:t>
      </w:r>
      <w:r>
        <w:rPr>
          <w:rFonts w:ascii="Aptos" w:hAnsi="Aptos"/>
          <w:sz w:val="22"/>
        </w:rPr>
        <w:t xml:space="preserve"> e Pontos de Atenção respectivos registros fotográficos no </w:t>
      </w:r>
      <w:r>
        <w:rPr>
          <w:rFonts w:ascii="Aptos" w:hAnsi="Aptos"/>
          <w:b/>
          <w:sz w:val="22"/>
        </w:rPr>
        <w:t>Apêndice B</w:t>
      </w:r>
      <w:r>
        <w:rPr>
          <w:rFonts w:ascii="Aptos" w:hAnsi="Aptos"/>
          <w:sz w:val="22"/>
        </w:rPr>
        <w:t>. A descrição da evidência está referenciada conforme a norma de descrição de defeitos do DNIT.</w:t>
      </w:r>
    </w:p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4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5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2024 (Cronograma de Conserva Especial do Pavimento CRA 2024).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zero (0)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spacing w:after="120"/>
        <w:jc w:val="both"/>
      </w:pPr>
      <w:r>
        <w:rPr>
          <w:rFonts w:ascii="Aptos" w:hAnsi="Aptos"/>
          <w:sz w:val="22"/>
        </w:rPr>
        <w:t>Recife, data da assinatura eletrônica.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p>
      <w:r>
        <w:rPr>
          <w:rFonts w:ascii="Aptos" w:hAnsi="Aptos"/>
          <w:sz w:val="22"/>
        </w:rPr>
        <w:t>Nenhum registro fotográfico de não conformidade cadastrado.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>
      <w:pPr>
        <w:spacing w:before="240" w:after="240"/>
      </w:pPr>
      <w:r>
        <w:rPr>
          <w:rFonts w:ascii="Aptos" w:hAnsi="Aptos"/>
          <w:sz w:val="22"/>
        </w:rPr>
        <w:t>Recife, data da assinatura eletrônica.</w:t>
      </w:r>
    </w:p>
    <w:p/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240" w:after="240"/>
      </w:pPr>
      <w:r>
        <w:rPr>
          <w:rFonts w:ascii="Aptos" w:hAnsi="Aptos"/>
          <w:sz w:val="22"/>
        </w:rPr>
        <w:t>Ciente e de acordo.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