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apa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11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24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01/05/2034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aspectos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em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</w:rPr>
        <w:t xml:space="preserve">As ações de fiscalização foram realizadas pela equipe formada pelos servidores: </w:t>
      </w:r>
      <w:r>
        <w:rPr>
          <w:rFonts w:ascii="Aptos" w:hAnsi="Aptos"/>
          <w:b/>
        </w:rPr>
        <w:t>Alcides Vieira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e </w:t>
      </w:r>
      <w:r>
        <w:rPr>
          <w:rFonts w:ascii="Aptos" w:hAnsi="Aptos"/>
          <w:b/>
        </w:rPr>
        <w:t>Enildo Manoel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nos dias 11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/>
        <w:jc w:val="center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3 – Trecho dos pontos de Atenção: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</w:t>
      </w: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2024 (Cronograma de Conserva Especial do Pavimento CRA 2024).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spacing w:after="120"/>
        <w:jc w:val="both"/>
      </w:pPr>
      <w:r>
        <w:rPr>
          <w:rFonts w:ascii="Aptos" w:hAnsi="Aptos"/>
          <w:sz w:val="22"/>
        </w:rPr>
        <w:t>Recife, data da assinatura eletrônica.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>
      <w:pPr>
        <w:spacing w:before="240" w:after="240"/>
      </w:pPr>
      <w:r>
        <w:rPr>
          <w:rFonts w:ascii="Aptos" w:hAnsi="Aptos"/>
          <w:sz w:val="22"/>
        </w:rPr>
        <w:t>Recife, data da assinatura eletrônica.</w:t>
      </w:r>
    </w:p>
    <w:p/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240" w:after="240"/>
      </w:pPr>
      <w:r>
        <w:rPr>
          <w:rFonts w:ascii="Aptos" w:hAnsi="Aptos"/>
          <w:sz w:val="22"/>
        </w:rPr>
        <w:t>Ciente e de acordo.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