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 1: Proof of Concept Submission Package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 1: Strategic Email Pitch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Subject:</w:t>
      </w:r>
      <w:r w:rsidDel="00000000" w:rsidR="00000000" w:rsidRPr="00000000">
        <w:rPr>
          <w:rFonts w:ascii="Arial" w:cs="Arial" w:eastAsia="Arial" w:hAnsi="Arial"/>
          <w:color w:val="1f1f1f"/>
          <w:rtl w:val="0"/>
        </w:rPr>
        <w:t xml:space="preserve"> Proposed Proof-of-Concept for EIS Training &amp; On-Site Monitoring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Dear Members of the Selection Panel,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Thank you for the opportunity to discuss the Children and Youth Program Specialist III position within the Early Intervention Section (EIS).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our discussions regarding the logistical challenges of monitoring statewide clinic compliance with IDEA Part C timelines, I developed a functioning, zero-cost Proof-of-Concept (PoC) prototype. Rather than speaking hypothetically about data administration, I want to present a tangible, working architecture that addresses our section's primary operational challenges.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prototype is mapped directly to the major duties of the Specialist III role. It demonstrates how we can systematically eliminate manual administrative bloat, automate compliance tracking, and predict clinic bottlenecks before they trigger federal non-compliance.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Attached is a Layman's Reference Manual outlining the system design. It explains how this solution functions without requiring state development funds and demonstrates strict adherence to the highest standards of federal data safety.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look forward to walking you through this live, interactive system on my mobile device during our upcoming session.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Sincerely,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Joanne Jeremie</w:t>
      </w:r>
      <w:r w:rsidDel="00000000" w:rsidR="00000000" w:rsidRPr="00000000">
        <w:rPr>
          <w:rFonts w:ascii="Arial" w:cs="Arial" w:eastAsia="Arial" w:hAnsi="Arial"/>
          <w:color w:val="1f1f1f"/>
          <w:rtl w:val="0"/>
        </w:rPr>
        <w:t xml:space="preserve"> Master Educator | Technical Writer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joannejeremie1@gmail.com | (808) 321-5801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 2: Layman's Technical Reference Manual (Attachment)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b w:val="1"/>
          <w:bCs w:val="1"/>
          <w:color w:val="1f1f1f"/>
          <w:rtl w:val="0"/>
        </w:rPr>
        <w:t xml:space="preserve">Strategic Blueprint: Proactive Early Intervention Compliance System (PEICS)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 Architectural Reference Template for the Hawaii Department of Health (DOH) Early Intervention Section (EIS)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i w:val="1"/>
          <w:iCs w:val="1"/>
          <w:color w:val="1f1f1f"/>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Fonts w:ascii="Arial" w:cs="Arial" w:eastAsia="Arial" w:hAnsi="Arial"/>
          <w:b w:val="1"/>
          <w:bCs w:val="1"/>
          <w:color w:val="1f1f1f"/>
          <w:rtl w:val="0"/>
        </w:rPr>
        <w:t xml:space="preserve">Executive Summary: The Core Challenge</w:t>
      </w:r>
      <w:r w:rsidDel="00000000" w:rsidR="00000000" w:rsidRPr="00000000">
        <w:rPr>
          <w:rFonts w:ascii="Arial" w:cs="Arial" w:eastAsia="Arial" w:hAnsi="Arial"/>
          <w:color w:val="1f1f1f"/>
          <w:rtl w:val="0"/>
        </w:rPr>
        <w:t xml:space="preserve"> The Specialist III role balances two competing demands: Consultation &amp; Training (75% focus) and On-Site Monitoring &amp; Quality Assurance (20% focus). This compliance system is designed to reference opendata for longitudinal information. Currently, strict IDEA Part C timelines are audited via manual spreadsheets and retrospective reports, meaning errors are often discovered after non-compliance has already occurred.</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PEICS solves this by converting Moodle—an open-source, highly secure database platform—into a real-time compliance translation engine. Administrators can securely push data, instantly visualize clinic performance on a mobile-responsive dashboard, and utilize predictive AI to prevent compliance failures.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G-M-A-T Data Governance Foundation</w:t>
      </w:r>
      <w:r w:rsidDel="00000000" w:rsidR="00000000" w:rsidRPr="00000000">
        <w:rPr>
          <w:rFonts w:ascii="Arial" w:cs="Arial" w:eastAsia="Arial" w:hAnsi="Arial"/>
          <w:color w:val="1f1f1f"/>
          <w:rtl w:val="0"/>
        </w:rPr>
        <w:t xml:space="preserve">  To handle sensitive datasets safely, PEICS relies on the G-M-A-T framework:</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Govern (Ingestion Protocols):</w:t>
      </w:r>
      <w:r w:rsidDel="00000000" w:rsidR="00000000" w:rsidRPr="00000000">
        <w:rPr>
          <w:rFonts w:ascii="Arial" w:cs="Arial" w:eastAsia="Arial" w:hAnsi="Arial"/>
          <w:color w:val="1f1f1f"/>
          <w:rtl w:val="0"/>
        </w:rPr>
        <w:t xml:space="preserve"> Relational databases monitor data ingestion via secure REST APIs, mapping raw inputs perfectly to compliance tables to maintain data lineage without manual entry errors.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Mitigate (The 4-Phase Privacy Lifecycle):</w:t>
      </w:r>
      <w:r w:rsidDel="00000000" w:rsidR="00000000" w:rsidRPr="00000000">
        <w:rPr>
          <w:rFonts w:ascii="Arial" w:cs="Arial" w:eastAsia="Arial" w:hAnsi="Arial"/>
          <w:color w:val="1f1f1f"/>
          <w:rtl w:val="0"/>
        </w:rPr>
        <w:t xml:space="preserve"> Data is processed in a secure clean room where raw files are isolated. Automated scripts strip all Protected Health Information (PHI) and Personally Identifiable Information (PII), replacing patient names with cryptographic hashes before dashboards are provisioned to auditors.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Auditable Process (Translation Layer):</w:t>
      </w:r>
      <w:r w:rsidDel="00000000" w:rsidR="00000000" w:rsidRPr="00000000">
        <w:rPr>
          <w:rFonts w:ascii="Arial" w:cs="Arial" w:eastAsia="Arial" w:hAnsi="Arial"/>
          <w:color w:val="1f1f1f"/>
          <w:rtl w:val="0"/>
        </w:rPr>
        <w:t xml:space="preserve"> Raw inputs are translated into universal standard vocabularies (e.g., SNOMED-CT or WIDA) to provide state auditors with a completely uniform dataset.</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Trustworthy Delivery (Secure Operations):</w:t>
      </w:r>
      <w:r w:rsidDel="00000000" w:rsidR="00000000" w:rsidRPr="00000000">
        <w:rPr>
          <w:rFonts w:ascii="Arial" w:cs="Arial" w:eastAsia="Arial" w:hAnsi="Arial"/>
          <w:color w:val="1f1f1f"/>
          <w:rtl w:val="0"/>
        </w:rPr>
        <w:t xml:space="preserve"> A mobile-responsive Tailwind CSS dashboard provides automated regression tests and real-time compliance metrics. Features include a Real-Time Compliance Tracker (Widget A) and a Predictive Compliance Weather Radar (Widget B) to flag future non-compliance risks.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Interactive Delivery Mechanism:</w:t>
      </w:r>
      <w:r w:rsidDel="00000000" w:rsidR="00000000" w:rsidRPr="00000000">
        <w:rPr>
          <w:rFonts w:ascii="Arial" w:cs="Arial" w:eastAsia="Arial" w:hAnsi="Arial"/>
          <w:color w:val="1f1f1f"/>
          <w:rtl w:val="0"/>
        </w:rPr>
        <w:t xml:space="preserve"> During the interview, I will provide a QR code that securely connects your mobile device directly to our simulated server tunnel (via Ngrok), rendering the interactive dashboard live.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 2: Joanne Jeremie Alignment Manifest (Second Brain Resource)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Context:</w:t>
      </w:r>
      <w:r w:rsidDel="00000000" w:rsidR="00000000" w:rsidRPr="00000000">
        <w:rPr>
          <w:rFonts w:ascii="Arial" w:cs="Arial" w:eastAsia="Arial" w:hAnsi="Arial"/>
          <w:color w:val="1f1f1f"/>
          <w:rtl w:val="0"/>
        </w:rPr>
        <w:t xml:space="preserve"> Professional Profile Optimization &amp; Alignment </w:t>
      </w:r>
      <w:r w:rsidDel="00000000" w:rsidR="00000000" w:rsidRPr="00000000">
        <w:rPr>
          <w:rFonts w:ascii="Arial" w:cs="Arial" w:eastAsia="Arial" w:hAnsi="Arial"/>
          <w:b w:val="1"/>
          <w:bCs w:val="1"/>
          <w:color w:val="1f1f1f"/>
          <w:rtl w:val="0"/>
        </w:rPr>
        <w:t xml:space="preserve">Target Position:</w:t>
      </w:r>
      <w:r w:rsidDel="00000000" w:rsidR="00000000" w:rsidRPr="00000000">
        <w:rPr>
          <w:rFonts w:ascii="Arial" w:cs="Arial" w:eastAsia="Arial" w:hAnsi="Arial"/>
          <w:color w:val="1f1f1f"/>
          <w:rtl w:val="0"/>
        </w:rPr>
        <w:t xml:space="preserve"> Children and Youth Program Specialist III (Early Intervention Section) </w:t>
      </w:r>
      <w:r w:rsidDel="00000000" w:rsidR="00000000" w:rsidRPr="00000000">
        <w:rPr>
          <w:rFonts w:ascii="Arial" w:cs="Arial" w:eastAsia="Arial" w:hAnsi="Arial"/>
          <w:b w:val="1"/>
          <w:bCs w:val="1"/>
          <w:color w:val="1f1f1f"/>
          <w:rtl w:val="0"/>
        </w:rPr>
        <w:t xml:space="preserve">Framework Integration:</w:t>
      </w:r>
      <w:r w:rsidDel="00000000" w:rsidR="00000000" w:rsidRPr="00000000">
        <w:rPr>
          <w:rFonts w:ascii="Arial" w:cs="Arial" w:eastAsia="Arial" w:hAnsi="Arial"/>
          <w:color w:val="1f1f1f"/>
          <w:rtl w:val="0"/>
        </w:rPr>
        <w:t xml:space="preserve"> BASB (Building a Second Brain) - PARA + CODE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The 8 Dimensions of Role Alignment</w:t>
      </w:r>
      <w:r w:rsidDel="00000000" w:rsidR="00000000" w:rsidRPr="00000000">
        <w:rPr>
          <w:rFonts w:ascii="Arial" w:cs="Arial" w:eastAsia="Arial" w:hAnsi="Arial"/>
          <w:color w:val="1f1f1f"/>
          <w:rtl w:val="0"/>
        </w:rPr>
        <w:t xml:space="preserve"> The following matrix illustrates the match strength between Joanne’s background and the EIS role requirements: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&amp; Mitigations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Consultation &amp; Training (75% of PD)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98/100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University lecturer, district PD lead, study cohort creator.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Leadership &amp; Professional Writing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98/100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Director of Studies, author of coordinator manuals, tech writer.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Academic Pedagogy 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Master's in TESOL, NYU BA.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Technology &amp; Modern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Generative AI expert (Google Gemini), Excel/data analytics.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Cultural &amp; Family Competence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95/100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Newcomer family engagement, bilingual instructor.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Auditing &amp; Quality Assurance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88/100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MLL coordinator compliance exits, MTSS data monitoring.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Regulatory Frameworks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82/100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WIDA, Hawaii standards, SPED laws; positioned to quickly master IDEA Part 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SPED &amp; Early Childhood Foundation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75/100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Bilingual SPED experience; K-5 focus requires mild 0-3 adjustment.</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Next Action Items</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Resume Review:</w:t>
      </w:r>
      <w:r w:rsidDel="00000000" w:rsidR="00000000" w:rsidRPr="00000000">
        <w:rPr>
          <w:rFonts w:ascii="Arial" w:cs="Arial" w:eastAsia="Arial" w:hAnsi="Arial"/>
          <w:color w:val="1f1f1f"/>
          <w:rtl w:val="0"/>
        </w:rPr>
        <w:t xml:space="preserve"> Implement minor wording changes in the resume as outlined in the tailoring guide.</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Interview Prep:</w:t>
      </w:r>
      <w:r w:rsidDel="00000000" w:rsidR="00000000" w:rsidRPr="00000000">
        <w:rPr>
          <w:rFonts w:ascii="Arial" w:cs="Arial" w:eastAsia="Arial" w:hAnsi="Arial"/>
          <w:color w:val="1f1f1f"/>
          <w:rtl w:val="0"/>
        </w:rPr>
        <w:t xml:space="preserve"> Review the situational answers in the interview guide.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color w:val="1f1f1f"/>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 3: Official Interview Acceptance &amp; Governance Workflow</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 1: Official Interview Acceptance Email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To:</w:t>
      </w:r>
      <w:r w:rsidDel="00000000" w:rsidR="00000000" w:rsidRPr="00000000">
        <w:rPr>
          <w:rFonts w:ascii="Arial" w:cs="Arial" w:eastAsia="Arial" w:hAnsi="Arial"/>
          <w:color w:val="1f1f1f"/>
          <w:rtl w:val="0"/>
        </w:rPr>
        <w:t xml:space="preserve"> kelly.ferguson@doh.hawaii.gov </w:t>
      </w:r>
      <w:r w:rsidDel="00000000" w:rsidR="00000000" w:rsidRPr="00000000">
        <w:rPr>
          <w:rFonts w:ascii="Arial" w:cs="Arial" w:eastAsia="Arial" w:hAnsi="Arial"/>
          <w:b w:val="1"/>
          <w:bCs w:val="1"/>
          <w:color w:val="1f1f1f"/>
          <w:rtl w:val="0"/>
        </w:rPr>
        <w:t xml:space="preserve">Subject:</w:t>
      </w:r>
      <w:r w:rsidDel="00000000" w:rsidR="00000000" w:rsidRPr="00000000">
        <w:rPr>
          <w:rFonts w:ascii="Arial" w:cs="Arial" w:eastAsia="Arial" w:hAnsi="Arial"/>
          <w:color w:val="1f1f1f"/>
          <w:rtl w:val="0"/>
        </w:rPr>
        <w:t xml:space="preserve"> Re: Children &amp; Youth Program Specialist III position - Joanne Jeremie (Interview Confirmation)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Dear Ms. Ferguson,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Aloha. Thank you very much for contacting me regarding the Children &amp; Youth Program Specialist III position with the State of Hawaii Department of Health (DOH) Early Intervention Section (EIS).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am writing to enthusiastically confirm my interest in interviewing for this permanent, full-time position at 1010 Richards Street. I am fully available to schedule the session at your earliest convenience today, tomorrow, or during your upcoming block.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demonstrate my readiness and system-thinking capabilities, I have prepared a proactive Technical Proof-of-Concept Workflow mapped directly to the position description's core duties. Following the DOH's G-M-A-T Data Governance Framework, I have conceptualized a secure, real-time compliance translation module that automates on-site monitoring and training logs without exposing any personally identifiable information (PII).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have attached a layman-friendly summary of this workflow below for the selection panel's reference. I look forward to presenting a secure, interactive demonstration of this platform on my mobile device during our interview.</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Thank you again for your time, coordination, and this opportunity.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Warmest aloha,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Joanne Jeremie</w:t>
      </w:r>
      <w:r w:rsidDel="00000000" w:rsidR="00000000" w:rsidRPr="00000000">
        <w:rPr>
          <w:rFonts w:ascii="Arial" w:cs="Arial" w:eastAsia="Arial" w:hAnsi="Arial"/>
          <w:color w:val="1f1f1f"/>
          <w:rtl w:val="0"/>
        </w:rPr>
        <w:t xml:space="preserve"> Master Educator | Technical Writer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joannejeremie1@gmail.com | Phone: (808) 321-5801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b w:val="1"/>
          <w:bCs w:val="1"/>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Part 2: Technical Data Governance Workflow (Selection Panel Reference)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 Compliant Architecture Aligning Pedagogy to DOH QHS Core Security Mandates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1. Ingestion &amp; Stewardship Protocols (GOVERN): To satisfy Consultation and Training duties, simulated open data enters a REST API ingestion port. The Moodle relational database automatically maps this data, verifying proper formatting and recording transactions with unbroken linear lineage logs to prevent contamination.</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2. The Four-Phase Risk &amp; Privacy Lifecycle (MITIGATE): To satisfy FERPA/HIPAA regulations, data undergoes a rigorous purification process:</w:t>
      </w:r>
    </w:p>
    <w:p w:rsidR="00000000" w:rsidDel="00000000" w:rsidP="00000000" w:rsidRDefault="00000000" w:rsidRPr="00000000" w14:paraId="00000075">
      <w:pPr>
        <w:numPr>
          <w:ilvl w:val="2"/>
          <w:numId w:val="4"/>
        </w:numPr>
        <w:pBdr>
          <w:top w:space="0" w:sz="0" w:val="nil"/>
          <w:left w:space="0" w:sz="0" w:val="nil"/>
          <w:bottom w:space="0" w:sz="0" w:val="nil"/>
          <w:right w:space="0" w:sz="0" w:val="nil"/>
          <w:between w:space="0" w:sz="0" w:val="nil"/>
        </w:pBdr>
        <w:shd w:fill="auto" w:val="clear"/>
        <w:spacing w:line="275.9999942779541" w:lineRule="auto"/>
        <w:ind w:left="2160" w:hanging="360"/>
      </w:pPr>
      <w:r w:rsidDel="00000000" w:rsidR="00000000" w:rsidRPr="00000000">
        <w:rPr>
          <w:rFonts w:ascii="Arial" w:cs="Arial" w:eastAsia="Arial" w:hAnsi="Arial"/>
          <w:i w:val="1"/>
          <w:iCs w:val="1"/>
          <w:color w:val="1f1f1f"/>
          <w:rtl w:val="0"/>
        </w:rPr>
        <w:t xml:space="preserve">Phase 1 (Enclave Isolation):</w:t>
      </w:r>
      <w:r w:rsidDel="00000000" w:rsidR="00000000" w:rsidRPr="00000000">
        <w:rPr>
          <w:rFonts w:ascii="Arial" w:cs="Arial" w:eastAsia="Arial" w:hAnsi="Arial"/>
          <w:color w:val="1f1f1f"/>
          <w:rtl w:val="0"/>
        </w:rPr>
        <w:t xml:space="preserve"> Raw simulated files are secured in firewalled, restricted environments.</w:t>
      </w:r>
    </w:p>
    <w:p w:rsidR="00000000" w:rsidDel="00000000" w:rsidP="00000000" w:rsidRDefault="00000000" w:rsidRPr="00000000" w14:paraId="00000076">
      <w:pPr>
        <w:numPr>
          <w:ilvl w:val="2"/>
          <w:numId w:val="4"/>
        </w:numPr>
        <w:pBdr>
          <w:top w:space="0" w:sz="0" w:val="nil"/>
          <w:left w:space="0" w:sz="0" w:val="nil"/>
          <w:bottom w:space="0" w:sz="0" w:val="nil"/>
          <w:right w:space="0" w:sz="0" w:val="nil"/>
          <w:between w:space="0" w:sz="0" w:val="nil"/>
        </w:pBdr>
        <w:shd w:fill="auto" w:val="clear"/>
        <w:spacing w:line="275.9999942779541" w:lineRule="auto"/>
        <w:ind w:left="2160" w:hanging="360"/>
      </w:pPr>
      <w:r w:rsidDel="00000000" w:rsidR="00000000" w:rsidRPr="00000000">
        <w:rPr>
          <w:rFonts w:ascii="Arial" w:cs="Arial" w:eastAsia="Arial" w:hAnsi="Arial"/>
          <w:i w:val="1"/>
          <w:iCs w:val="1"/>
          <w:color w:val="1f1f1f"/>
          <w:rtl w:val="0"/>
        </w:rPr>
        <w:t xml:space="preserve">Phase 2 (Normalization):</w:t>
      </w:r>
      <w:r w:rsidDel="00000000" w:rsidR="00000000" w:rsidRPr="00000000">
        <w:rPr>
          <w:rFonts w:ascii="Arial" w:cs="Arial" w:eastAsia="Arial" w:hAnsi="Arial"/>
          <w:color w:val="1f1f1f"/>
          <w:rtl w:val="0"/>
        </w:rPr>
        <w:t xml:space="preserve"> Clinic-specific fields map to uniform institutional definitions.</w:t>
      </w:r>
    </w:p>
    <w:p w:rsidR="00000000" w:rsidDel="00000000" w:rsidP="00000000" w:rsidRDefault="00000000" w:rsidRPr="00000000" w14:paraId="00000077">
      <w:pPr>
        <w:numPr>
          <w:ilvl w:val="2"/>
          <w:numId w:val="4"/>
        </w:numPr>
        <w:pBdr>
          <w:top w:space="0" w:sz="0" w:val="nil"/>
          <w:left w:space="0" w:sz="0" w:val="nil"/>
          <w:bottom w:space="0" w:sz="0" w:val="nil"/>
          <w:right w:space="0" w:sz="0" w:val="nil"/>
          <w:between w:space="0" w:sz="0" w:val="nil"/>
        </w:pBdr>
        <w:shd w:fill="auto" w:val="clear"/>
        <w:spacing w:line="275.9999942779541" w:lineRule="auto"/>
        <w:ind w:left="2160" w:hanging="360"/>
      </w:pPr>
      <w:r w:rsidDel="00000000" w:rsidR="00000000" w:rsidRPr="00000000">
        <w:rPr>
          <w:rFonts w:ascii="Arial" w:cs="Arial" w:eastAsia="Arial" w:hAnsi="Arial"/>
          <w:i w:val="1"/>
          <w:iCs w:val="1"/>
          <w:color w:val="1f1f1f"/>
          <w:rtl w:val="0"/>
        </w:rPr>
        <w:t xml:space="preserve">Phase 3 (De-identification):</w:t>
      </w:r>
      <w:r w:rsidDel="00000000" w:rsidR="00000000" w:rsidRPr="00000000">
        <w:rPr>
          <w:rFonts w:ascii="Arial" w:cs="Arial" w:eastAsia="Arial" w:hAnsi="Arial"/>
          <w:color w:val="1f1f1f"/>
          <w:rtl w:val="0"/>
        </w:rPr>
        <w:t xml:space="preserve"> Python scripts strip PHI/PII, masking family names with cryptographic hashes and truncating dates/ZIP codes under HIPAA Privacy Rule § 164.514(b).</w:t>
      </w:r>
    </w:p>
    <w:p w:rsidR="00000000" w:rsidDel="00000000" w:rsidP="00000000" w:rsidRDefault="00000000" w:rsidRPr="00000000" w14:paraId="00000078">
      <w:pPr>
        <w:numPr>
          <w:ilvl w:val="2"/>
          <w:numId w:val="4"/>
        </w:numPr>
        <w:pBdr>
          <w:top w:space="0" w:sz="0" w:val="nil"/>
          <w:left w:space="0" w:sz="0" w:val="nil"/>
          <w:bottom w:space="0" w:sz="0" w:val="nil"/>
          <w:right w:space="0" w:sz="0" w:val="nil"/>
          <w:between w:space="0" w:sz="0" w:val="nil"/>
        </w:pBdr>
        <w:shd w:fill="auto" w:val="clear"/>
        <w:spacing w:line="275.9999942779541" w:lineRule="auto"/>
        <w:ind w:left="2160" w:hanging="360"/>
      </w:pPr>
      <w:r w:rsidDel="00000000" w:rsidR="00000000" w:rsidRPr="00000000">
        <w:rPr>
          <w:rFonts w:ascii="Arial" w:cs="Arial" w:eastAsia="Arial" w:hAnsi="Arial"/>
          <w:i w:val="1"/>
          <w:iCs w:val="1"/>
          <w:color w:val="1f1f1f"/>
          <w:rtl w:val="0"/>
        </w:rPr>
        <w:t xml:space="preserve">Phase 4 (Audited Provisioning):</w:t>
      </w:r>
      <w:r w:rsidDel="00000000" w:rsidR="00000000" w:rsidRPr="00000000">
        <w:rPr>
          <w:rFonts w:ascii="Arial" w:cs="Arial" w:eastAsia="Arial" w:hAnsi="Arial"/>
          <w:color w:val="1f1f1f"/>
          <w:rtl w:val="0"/>
        </w:rPr>
        <w:t xml:space="preserve"> Anonymized assets are sent to the Edge Dashboard, logging all auditor actions on an immutable ledger.</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3. Semantic Translation &amp; Access Control (AUDITABLE PROCESS): To guarantee segregation of duties for On-Site Monitoring, raw local input strings are parsed into a Standardized Common Data Model (CDM). Data is mapped to LOINC, SNOMED-CT, and RxNorm, with access restricted across Operational, Internal Analytics, and Collaborative tiers.</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4. Secure Enterprise Operations (TRUSTWORTHY DELIVERY): High-utility visual widgets deliver predictive intelligence. Utilizing governed AI integration, a "Compliance Weather Radar" calculates where compliance gaps will occur before they happen (e.g., weighing clinical turnover against training completion drops) without risking clinical data exposure.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refinements tighten the messaging and format the complex technical workflows into easily digestible pieces. Do you want to review the specific resume tweaks mentioned in your Alignment Manifest next, to ensure your application package is completely unified?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