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Fonts w:ascii="Arial" w:cs="Arial" w:eastAsia="Arial" w:hAnsi="Arial"/>
          <w:color w:val="1f1f1f"/>
          <w:rtl w:val="0"/>
        </w:rPr>
        <w:t xml:space="preserve">This documentation serves as a formal technical specification and architectural overview for the Proactive Early Intervention Compliance System (PEICS) proof-of-concept, designed for the Hawaii Department of Health (DOH) Early Intervention Section (EIS).</w:t>
      </w:r>
      <w:r w:rsidDel="00000000" w:rsidR="00000000" w:rsidRPr="00000000">
        <w:rPr>
          <w:rtl w:val="0"/>
        </w:rPr>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pStyle w:val="Heading3"/>
        <w:spacing w:after="0" w:before="0" w:line="240" w:lineRule="auto"/>
        <w:rPr>
          <w:rFonts w:ascii="Arial" w:cs="Arial" w:eastAsia="Arial" w:hAnsi="Arial"/>
          <w:color w:val="1f1f1f"/>
        </w:rPr>
      </w:pPr>
      <w:bookmarkStart w:colFirst="0" w:colLast="0" w:name="_ofse53zg0ud6" w:id="0"/>
      <w:bookmarkEnd w:id="0"/>
      <w:r w:rsidDel="00000000" w:rsidR="00000000" w:rsidRPr="00000000">
        <w:rPr>
          <w:rFonts w:ascii="Arial" w:cs="Arial" w:eastAsia="Arial" w:hAnsi="Arial"/>
          <w:color w:val="1f1f1f"/>
          <w:rtl w:val="0"/>
        </w:rPr>
        <w:t xml:space="preserve">Formal Proposal &amp; Deployment Strategy</w:t>
      </w:r>
    </w:p>
    <w:p w:rsidR="00000000" w:rsidDel="00000000" w:rsidP="00000000" w:rsidRDefault="00000000" w:rsidRPr="00000000" w14:paraId="00000004">
      <w:pPr>
        <w:spacing w:after="0" w:line="240" w:lineRule="auto"/>
        <w:rPr>
          <w:b w:val="1"/>
          <w:bCs w:val="1"/>
          <w:color w:val="1f1f1f"/>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Technical Submission: Proactive Compliance Architecture for EIS Training and Longitudinal Monitoring</w:t>
      </w:r>
    </w:p>
    <w:p w:rsidR="00000000" w:rsidDel="00000000" w:rsidP="00000000" w:rsidRDefault="00000000" w:rsidRPr="00000000" w14:paraId="00000006">
      <w:pPr>
        <w:spacing w:after="0" w:line="240" w:lineRule="auto"/>
        <w:rPr>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Dear Members of the Selection Panel,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Thank you for the opportunity to discuss the Children and Youth Program Specialist III position within the Early Intervention Section (EIS).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line="240" w:lineRule="auto"/>
        <w:rPr>
          <w:color w:val="1f1f1f"/>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In response to the identified logistical constraints regarding statewide clinic compliance with IDEA Part C federal mandates, I am submitting a functional, zero-marginal-cost Proof-of-Concept (PoC). This submission transitions from theoretical administrative models to a concrete, deployable architecture designed to optimize data integrity and operational oversight within the EIS Specialist III workflow.</w:t>
      </w:r>
    </w:p>
    <w:p w:rsidR="00000000" w:rsidDel="00000000" w:rsidP="00000000" w:rsidRDefault="00000000" w:rsidRPr="00000000" w14:paraId="0000000B">
      <w:pPr>
        <w:spacing w:after="0" w:line="240" w:lineRule="auto"/>
        <w:rPr>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To demonstrate how we can systematically eliminate manual administrative bloat, automate compliance tracking, and predict clinic bottlenecks before they trigger federal non-compliance, I have mapped this prototype directly to the major duties of the Specialist III role.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line="240" w:lineRule="auto"/>
        <w:rPr>
          <w:color w:val="1f1f1f"/>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The accompanying Technical Reference Manual details the system's schema design, its capacity for low-latency reporting without dedicated state development appropriations, and its adherence to federal data governance protocols. This framework ensures that administrative automation does not compromise security or fiscal responsibility.</w:t>
      </w:r>
    </w:p>
    <w:p w:rsidR="00000000" w:rsidDel="00000000" w:rsidP="00000000" w:rsidRDefault="00000000" w:rsidRPr="00000000" w14:paraId="0000000F">
      <w:pPr>
        <w:spacing w:after="0" w:line="240" w:lineRule="auto"/>
        <w:rPr>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 look forward to guiding you through a live, interactive demonstration of this system on my mobile device during our upcoming session.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line="240" w:lineRule="auto"/>
        <w:rPr>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Sincerely,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Joanne Jeremie</w:t>
      </w:r>
      <w:r w:rsidDel="00000000" w:rsidR="00000000" w:rsidRPr="00000000">
        <w:rPr>
          <w:rFonts w:ascii="Arial" w:cs="Arial" w:eastAsia="Arial" w:hAnsi="Arial"/>
          <w:color w:val="1f1f1f"/>
          <w:rtl w:val="0"/>
        </w:rPr>
        <w:t xml:space="preserve">  Master Educator | Technical Writer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joannejeremie1@gmail.com | (808) 321-5801</w:t>
      </w:r>
    </w:p>
    <w:p w:rsidR="00000000" w:rsidDel="00000000" w:rsidP="00000000" w:rsidRDefault="00000000" w:rsidRPr="00000000" w14:paraId="00000015">
      <w:pPr>
        <w:pStyle w:val="Heading3"/>
        <w:spacing w:after="0" w:before="0" w:line="240" w:lineRule="auto"/>
        <w:rPr>
          <w:color w:val="1f1f1f"/>
        </w:rPr>
      </w:pPr>
      <w:bookmarkStart w:colFirst="0" w:colLast="0" w:name="_ea25cyfyqf6q" w:id="1"/>
      <w:bookmarkEnd w:id="1"/>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pStyle w:val="Heading3"/>
        <w:spacing w:after="0" w:before="0" w:line="240" w:lineRule="auto"/>
        <w:rPr/>
      </w:pPr>
      <w:bookmarkStart w:colFirst="0" w:colLast="0" w:name="_fur50a1d98cw" w:id="2"/>
      <w:bookmarkEnd w:id="2"/>
      <w:r w:rsidDel="00000000" w:rsidR="00000000" w:rsidRPr="00000000">
        <w:rPr>
          <w:rFonts w:ascii="Arial" w:cs="Arial" w:eastAsia="Arial" w:hAnsi="Arial"/>
          <w:color w:val="1f1f1f"/>
          <w:rtl w:val="0"/>
        </w:rPr>
        <w:t xml:space="preserve">System Architecture &amp; Technical Reference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Technical Blueprint: Proactive Early Intervention Compliance System (PEICS)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 System-Level Architectural Specification for the Hawaii Department of Health (DOH) Early Intervention Section (EIS)</w:t>
      </w:r>
    </w:p>
    <w:p w:rsidR="00000000" w:rsidDel="00000000" w:rsidP="00000000" w:rsidRDefault="00000000" w:rsidRPr="00000000" w14:paraId="00000025">
      <w:pPr>
        <w:spacing w:after="0" w:line="240" w:lineRule="auto"/>
        <w:rPr>
          <w:i w:val="1"/>
          <w:iCs w:val="1"/>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line="240" w:lineRule="auto"/>
        <w:rPr>
          <w:b w:val="1"/>
          <w:bCs w:val="1"/>
          <w:color w:val="1f1f1f"/>
        </w:rPr>
      </w:pPr>
      <w:r w:rsidDel="00000000" w:rsidR="00000000" w:rsidRPr="00000000">
        <w:rPr>
          <w:b w:val="1"/>
          <w:bCs w:val="1"/>
          <w:color w:val="1f1f1f"/>
          <w:rtl w:val="0"/>
        </w:rPr>
        <w:t xml:space="preserve">Executive Summary: The Core Challenge</w:t>
      </w:r>
    </w:p>
    <w:p w:rsidR="00000000" w:rsidDel="00000000" w:rsidP="00000000" w:rsidRDefault="00000000" w:rsidRPr="00000000" w14:paraId="00000027">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Current EIS Specialist III operations are bifurcated between Consultation/Training (75% load) and QA/On-Site Monitoring (20% load). The prevailing reliance on manual spreadsheet aggregation and asynchronous quarterly reporting results in high latency between data capture and compliance remediation. This creates a reactive posture where federal IDEA Part C timeline deviations are only identified post-facto.</w:t>
      </w:r>
    </w:p>
    <w:p w:rsidR="00000000" w:rsidDel="00000000" w:rsidP="00000000" w:rsidRDefault="00000000" w:rsidRPr="00000000" w14:paraId="00000028">
      <w:pPr>
        <w:spacing w:after="0" w:line="240" w:lineRule="auto"/>
        <w:rPr>
          <w:color w:val="1f1f1f"/>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b w:val="1"/>
          <w:bCs w:val="1"/>
          <w:color w:val="1f1f1f"/>
          <w:rtl w:val="0"/>
        </w:rPr>
        <w:t xml:space="preserve">The PEICS architecture addresses this by repurposing a hardened Moodle </w:t>
      </w:r>
      <w:r w:rsidDel="00000000" w:rsidR="00000000" w:rsidRPr="00000000">
        <w:rPr>
          <w:rFonts w:ascii="Arial" w:cs="Arial" w:eastAsia="Arial" w:hAnsi="Arial"/>
          <w:color w:val="1f1f1f"/>
          <w:rtl w:val="0"/>
        </w:rPr>
        <w:t xml:space="preserve">instance—leveraging its underlying relational database (PostgreSQL/MySQL)—into a real-time compliance ingestion engine. This framework utilizes RESTful APIs for data transport, visualized through a mobile-optimized Tailwind CSS dashboard, and supports predictive modeling to mitigate non-compliance risks before they materialize.</w:t>
      </w:r>
      <w:r w:rsidDel="00000000" w:rsidR="00000000" w:rsidRPr="00000000">
        <w:rPr>
          <w:rtl w:val="0"/>
        </w:rPr>
      </w:r>
    </w:p>
    <w:p w:rsidR="00000000" w:rsidDel="00000000" w:rsidP="00000000" w:rsidRDefault="00000000" w:rsidRPr="00000000" w14:paraId="0000002A">
      <w:pPr>
        <w:spacing w:after="0" w:line="240" w:lineRule="auto"/>
        <w:rPr>
          <w:color w:val="1f1f1f"/>
        </w:rPr>
      </w:pPr>
      <w:r w:rsidDel="00000000" w:rsidR="00000000" w:rsidRPr="00000000">
        <w:rPr>
          <w:rtl w:val="0"/>
        </w:rPr>
      </w:r>
    </w:p>
    <w:p w:rsidR="00000000" w:rsidDel="00000000" w:rsidP="00000000" w:rsidRDefault="00000000" w:rsidRPr="00000000" w14:paraId="0000002B">
      <w:pPr>
        <w:spacing w:after="0" w:line="240" w:lineRule="auto"/>
        <w:rPr>
          <w:b w:val="1"/>
          <w:bCs w:val="1"/>
          <w:color w:val="1f1f1f"/>
        </w:rPr>
      </w:pPr>
      <w:r w:rsidDel="00000000" w:rsidR="00000000" w:rsidRPr="00000000">
        <w:rPr>
          <w:b w:val="1"/>
          <w:bCs w:val="1"/>
          <w:color w:val="1f1f1f"/>
          <w:rtl w:val="0"/>
        </w:rPr>
        <w:t xml:space="preserve">Section 1: Data Governance &amp; Security (The G-M-A-T Framework)</w:t>
      </w:r>
    </w:p>
    <w:p w:rsidR="00000000" w:rsidDel="00000000" w:rsidP="00000000" w:rsidRDefault="00000000" w:rsidRPr="00000000" w14:paraId="0000002C">
      <w:pPr>
        <w:spacing w:after="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absolute data sovereignty and compliance with federal privacy mandates, the PEICS utilizes a structured Governance-Mitigation-Audit-Trust (G-M-A-T) pipeline:</w:t>
      </w:r>
    </w:p>
    <w:p w:rsidR="00000000" w:rsidDel="00000000" w:rsidP="00000000" w:rsidRDefault="00000000" w:rsidRPr="00000000" w14:paraId="0000002D">
      <w:pPr>
        <w:spacing w:after="0" w:line="240" w:lineRule="auto"/>
        <w:rPr>
          <w:color w:val="1f1f1f"/>
        </w:rPr>
      </w:pP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590.4" w:hanging="360"/>
      </w:pPr>
      <w:r w:rsidDel="00000000" w:rsidR="00000000" w:rsidRPr="00000000">
        <w:rPr>
          <w:rFonts w:ascii="Arial" w:cs="Arial" w:eastAsia="Arial" w:hAnsi="Arial"/>
          <w:b w:val="1"/>
          <w:bCs w:val="1"/>
          <w:color w:val="1f1f1f"/>
          <w:rtl w:val="0"/>
        </w:rPr>
        <w:t xml:space="preserve">GOVERN (Schema-Driven Ingestion):</w:t>
      </w:r>
      <w:r w:rsidDel="00000000" w:rsidR="00000000" w:rsidRPr="00000000">
        <w:rPr>
          <w:rFonts w:ascii="Arial" w:cs="Arial" w:eastAsia="Arial" w:hAnsi="Arial"/>
          <w:color w:val="1f1f1f"/>
          <w:rtl w:val="0"/>
        </w:rPr>
        <w:t xml:space="preserve"> The system implements strict input validation at the ingestion layer. All administrative data payloads are validated against predefined JSON schemas to prevent SQL injection or malformed data propagation. Relational mapping ensures referential integrity across compliance tracking tables.</w:t>
      </w:r>
      <w:r w:rsidDel="00000000" w:rsidR="00000000" w:rsidRPr="00000000">
        <w:rPr>
          <w:rtl w:val="0"/>
        </w:rPr>
      </w:r>
    </w:p>
    <w:p w:rsidR="00000000" w:rsidDel="00000000" w:rsidP="00000000" w:rsidRDefault="00000000" w:rsidRPr="00000000" w14:paraId="0000002F">
      <w:pPr>
        <w:numPr>
          <w:ilvl w:val="0"/>
          <w:numId w:val="1"/>
        </w:numPr>
        <w:spacing w:after="0" w:line="240" w:lineRule="auto"/>
        <w:ind w:left="590.4" w:hanging="360"/>
      </w:pPr>
      <w:r w:rsidDel="00000000" w:rsidR="00000000" w:rsidRPr="00000000">
        <w:rPr>
          <w:rFonts w:ascii="Arial" w:cs="Arial" w:eastAsia="Arial" w:hAnsi="Arial"/>
          <w:b w:val="1"/>
          <w:bCs w:val="1"/>
          <w:color w:val="1f1f1f"/>
          <w:rtl w:val="0"/>
        </w:rPr>
        <w:t xml:space="preserve">MITIGATE (Privacy Logic &amp; Anonymization):</w:t>
      </w:r>
      <w:r w:rsidDel="00000000" w:rsidR="00000000" w:rsidRPr="00000000">
        <w:rPr>
          <w:rFonts w:ascii="Arial" w:cs="Arial" w:eastAsia="Arial" w:hAnsi="Arial"/>
          <w:color w:val="1f1f1f"/>
          <w:rtl w:val="0"/>
        </w:rPr>
        <w:t xml:space="preserve"> PEICS employs a multi-tier de-identification protocol to protect PHI/PII.</w:t>
      </w:r>
      <w:r w:rsidDel="00000000" w:rsidR="00000000" w:rsidRPr="00000000">
        <w:rPr>
          <w:rtl w:val="0"/>
        </w:rPr>
      </w:r>
    </w:p>
    <w:p w:rsidR="00000000" w:rsidDel="00000000" w:rsidP="00000000" w:rsidRDefault="00000000" w:rsidRPr="00000000" w14:paraId="00000030">
      <w:pPr>
        <w:numPr>
          <w:ilvl w:val="2"/>
          <w:numId w:val="2"/>
        </w:numPr>
        <w:spacing w:after="0" w:line="240" w:lineRule="auto"/>
        <w:ind w:left="2160" w:hanging="360"/>
      </w:pPr>
      <w:r w:rsidDel="00000000" w:rsidR="00000000" w:rsidRPr="00000000">
        <w:rPr>
          <w:rFonts w:ascii="Arial" w:cs="Arial" w:eastAsia="Arial" w:hAnsi="Arial"/>
          <w:i w:val="1"/>
          <w:iCs w:val="1"/>
          <w:color w:val="1f1f1f"/>
          <w:rtl w:val="0"/>
        </w:rPr>
        <w:t xml:space="preserve">Tier 1 (Vaulting):</w:t>
      </w:r>
      <w:r w:rsidDel="00000000" w:rsidR="00000000" w:rsidRPr="00000000">
        <w:rPr>
          <w:rFonts w:ascii="Arial" w:cs="Arial" w:eastAsia="Arial" w:hAnsi="Arial"/>
          <w:color w:val="1f1f1f"/>
          <w:rtl w:val="0"/>
        </w:rPr>
        <w:t xml:space="preserve"> Raw administrative datasets are sequestered in a firewalled, non-persistent storage environment.</w:t>
      </w:r>
      <w:r w:rsidDel="00000000" w:rsidR="00000000" w:rsidRPr="00000000">
        <w:rPr>
          <w:rtl w:val="0"/>
        </w:rPr>
      </w:r>
    </w:p>
    <w:p w:rsidR="00000000" w:rsidDel="00000000" w:rsidP="00000000" w:rsidRDefault="00000000" w:rsidRPr="00000000" w14:paraId="00000031">
      <w:pPr>
        <w:numPr>
          <w:ilvl w:val="2"/>
          <w:numId w:val="2"/>
        </w:numPr>
        <w:spacing w:after="0" w:line="240" w:lineRule="auto"/>
        <w:ind w:left="2160" w:hanging="360"/>
      </w:pPr>
      <w:r w:rsidDel="00000000" w:rsidR="00000000" w:rsidRPr="00000000">
        <w:rPr>
          <w:rFonts w:ascii="Arial" w:cs="Arial" w:eastAsia="Arial" w:hAnsi="Arial"/>
          <w:i w:val="1"/>
          <w:iCs w:val="1"/>
          <w:color w:val="1f1f1f"/>
          <w:rtl w:val="0"/>
        </w:rPr>
        <w:t xml:space="preserve">Tier 2 (Normalization):</w:t>
      </w:r>
      <w:r w:rsidDel="00000000" w:rsidR="00000000" w:rsidRPr="00000000">
        <w:rPr>
          <w:rFonts w:ascii="Arial" w:cs="Arial" w:eastAsia="Arial" w:hAnsi="Arial"/>
          <w:color w:val="1f1f1f"/>
          <w:rtl w:val="0"/>
        </w:rPr>
        <w:t xml:space="preserve"> Clinic-specific vernacular is mapped to standardized EIS taxonomies.</w:t>
      </w:r>
      <w:r w:rsidDel="00000000" w:rsidR="00000000" w:rsidRPr="00000000">
        <w:rPr>
          <w:rtl w:val="0"/>
        </w:rPr>
      </w:r>
    </w:p>
    <w:p w:rsidR="00000000" w:rsidDel="00000000" w:rsidP="00000000" w:rsidRDefault="00000000" w:rsidRPr="00000000" w14:paraId="00000032">
      <w:pPr>
        <w:numPr>
          <w:ilvl w:val="2"/>
          <w:numId w:val="2"/>
        </w:numPr>
        <w:spacing w:after="0" w:line="240" w:lineRule="auto"/>
        <w:ind w:left="2160" w:hanging="360"/>
      </w:pPr>
      <w:r w:rsidDel="00000000" w:rsidR="00000000" w:rsidRPr="00000000">
        <w:rPr>
          <w:rFonts w:ascii="Arial" w:cs="Arial" w:eastAsia="Arial" w:hAnsi="Arial"/>
          <w:i w:val="1"/>
          <w:iCs w:val="1"/>
          <w:color w:val="1f1f1f"/>
          <w:rtl w:val="0"/>
        </w:rPr>
        <w:t xml:space="preserve">Tier 3 (Masking):</w:t>
      </w:r>
      <w:r w:rsidDel="00000000" w:rsidR="00000000" w:rsidRPr="00000000">
        <w:rPr>
          <w:rFonts w:ascii="Arial" w:cs="Arial" w:eastAsia="Arial" w:hAnsi="Arial"/>
          <w:color w:val="1f1f1f"/>
          <w:rtl w:val="0"/>
        </w:rPr>
        <w:t xml:space="preserve"> PHI is purged; patient identifiers are replaced with one-way salted cryptographic hashes (SHA-256). Dates are truncated to month/year to maintain trend utility without individual exposure.</w:t>
      </w:r>
      <w:r w:rsidDel="00000000" w:rsidR="00000000" w:rsidRPr="00000000">
        <w:rPr>
          <w:rtl w:val="0"/>
        </w:rPr>
      </w:r>
    </w:p>
    <w:p w:rsidR="00000000" w:rsidDel="00000000" w:rsidP="00000000" w:rsidRDefault="00000000" w:rsidRPr="00000000" w14:paraId="00000033">
      <w:pPr>
        <w:numPr>
          <w:ilvl w:val="2"/>
          <w:numId w:val="2"/>
        </w:numPr>
        <w:spacing w:after="0" w:line="240" w:lineRule="auto"/>
        <w:ind w:left="2160" w:hanging="360"/>
      </w:pPr>
      <w:r w:rsidDel="00000000" w:rsidR="00000000" w:rsidRPr="00000000">
        <w:rPr>
          <w:rFonts w:ascii="Arial" w:cs="Arial" w:eastAsia="Arial" w:hAnsi="Arial"/>
          <w:i w:val="1"/>
          <w:iCs w:val="1"/>
          <w:color w:val="1f1f1f"/>
          <w:rtl w:val="0"/>
        </w:rPr>
        <w:t xml:space="preserve">Tier 4 (RBAC):</w:t>
      </w:r>
      <w:r w:rsidDel="00000000" w:rsidR="00000000" w:rsidRPr="00000000">
        <w:rPr>
          <w:rFonts w:ascii="Arial" w:cs="Arial" w:eastAsia="Arial" w:hAnsi="Arial"/>
          <w:color w:val="1f1f1f"/>
          <w:rtl w:val="0"/>
        </w:rPr>
        <w:t xml:space="preserve"> Role-Based Access Control determines viewable dashboard metrics, with all session logs written to a tamper-evident audit trail.</w:t>
      </w:r>
      <w:r w:rsidDel="00000000" w:rsidR="00000000" w:rsidRPr="00000000">
        <w:rPr>
          <w:rtl w:val="0"/>
        </w:rPr>
      </w:r>
    </w:p>
    <w:p w:rsidR="00000000" w:rsidDel="00000000" w:rsidP="00000000" w:rsidRDefault="00000000" w:rsidRPr="00000000" w14:paraId="00000034">
      <w:pPr>
        <w:numPr>
          <w:ilvl w:val="0"/>
          <w:numId w:val="1"/>
        </w:numPr>
        <w:spacing w:after="0" w:line="240" w:lineRule="auto"/>
        <w:ind w:left="590.4" w:hanging="360"/>
      </w:pPr>
      <w:r w:rsidDel="00000000" w:rsidR="00000000" w:rsidRPr="00000000">
        <w:rPr>
          <w:rFonts w:ascii="Arial" w:cs="Arial" w:eastAsia="Arial" w:hAnsi="Arial"/>
          <w:b w:val="1"/>
          <w:bCs w:val="1"/>
          <w:color w:val="1f1f1f"/>
          <w:rtl w:val="0"/>
        </w:rPr>
        <w:t xml:space="preserve">AUDITABLE PROCESS (Semantic Translation):</w:t>
      </w:r>
      <w:r w:rsidDel="00000000" w:rsidR="00000000" w:rsidRPr="00000000">
        <w:rPr>
          <w:rFonts w:ascii="Arial" w:cs="Arial" w:eastAsia="Arial" w:hAnsi="Arial"/>
          <w:color w:val="1f1f1f"/>
          <w:rtl w:val="0"/>
        </w:rPr>
        <w:t xml:space="preserve"> The system functions as a middleware translator, standardizing disparate clinical inputs into uniform datasets compatible with SNOMED-CT and federal reporting requirements, ensuring high interoperability for state audits.</w:t>
      </w:r>
      <w:r w:rsidDel="00000000" w:rsidR="00000000" w:rsidRPr="00000000">
        <w:rPr>
          <w:rtl w:val="0"/>
        </w:rPr>
      </w:r>
    </w:p>
    <w:p w:rsidR="00000000" w:rsidDel="00000000" w:rsidP="00000000" w:rsidRDefault="00000000" w:rsidRPr="00000000" w14:paraId="00000035">
      <w:pPr>
        <w:numPr>
          <w:ilvl w:val="0"/>
          <w:numId w:val="1"/>
        </w:numPr>
        <w:spacing w:after="0" w:line="240" w:lineRule="auto"/>
        <w:ind w:left="590.4" w:hanging="360"/>
      </w:pPr>
      <w:r w:rsidDel="00000000" w:rsidR="00000000" w:rsidRPr="00000000">
        <w:rPr>
          <w:rFonts w:ascii="Arial" w:cs="Arial" w:eastAsia="Arial" w:hAnsi="Arial"/>
          <w:b w:val="1"/>
          <w:bCs w:val="1"/>
          <w:color w:val="1f1f1f"/>
          <w:rtl w:val="0"/>
        </w:rPr>
        <w:t xml:space="preserve">TRUSTWORTHY DELIVERY (CI/CD Principles):</w:t>
      </w:r>
      <w:r w:rsidDel="00000000" w:rsidR="00000000" w:rsidRPr="00000000">
        <w:rPr>
          <w:rFonts w:ascii="Arial" w:cs="Arial" w:eastAsia="Arial" w:hAnsi="Arial"/>
          <w:color w:val="1f1f1f"/>
          <w:rtl w:val="0"/>
        </w:rPr>
        <w:t xml:space="preserve"> The dashboard interface is decoupled from the data layer, utilizing automated unit testing and schema monitoring to ensure high availability and predictive accuracy in real-time reporting environments.</w:t>
      </w:r>
      <w:r w:rsidDel="00000000" w:rsidR="00000000" w:rsidRPr="00000000">
        <w:rPr>
          <w:rtl w:val="0"/>
        </w:rPr>
      </w:r>
    </w:p>
    <w:p w:rsidR="00000000" w:rsidDel="00000000" w:rsidP="00000000" w:rsidRDefault="00000000" w:rsidRPr="00000000" w14:paraId="00000036">
      <w:pPr>
        <w:spacing w:after="0" w:line="240" w:lineRule="auto"/>
        <w:rPr>
          <w:b w:val="1"/>
          <w:bCs w:val="1"/>
          <w:color w:val="1f1f1f"/>
        </w:rPr>
      </w:pPr>
      <w:r w:rsidDel="00000000" w:rsidR="00000000" w:rsidRPr="00000000">
        <w:rPr>
          <w:rtl w:val="0"/>
        </w:rPr>
      </w:r>
    </w:p>
    <w:p w:rsidR="00000000" w:rsidDel="00000000" w:rsidP="00000000" w:rsidRDefault="00000000" w:rsidRPr="00000000" w14:paraId="00000037">
      <w:pPr>
        <w:spacing w:after="0" w:line="240" w:lineRule="auto"/>
        <w:rPr>
          <w:b w:val="1"/>
          <w:bCs w:val="1"/>
          <w:color w:val="1f1f1f"/>
        </w:rPr>
      </w:pPr>
      <w:r w:rsidDel="00000000" w:rsidR="00000000" w:rsidRPr="00000000">
        <w:rPr>
          <w:b w:val="1"/>
          <w:bCs w:val="1"/>
          <w:color w:val="1f1f1f"/>
          <w:rtl w:val="0"/>
        </w:rPr>
        <w:t xml:space="preserve">Section 2: Technical Implementation &amp; API Configuration</w:t>
      </w:r>
    </w:p>
    <w:p w:rsidR="00000000" w:rsidDel="00000000" w:rsidP="00000000" w:rsidRDefault="00000000" w:rsidRPr="00000000" w14:paraId="00000038">
      <w:pPr>
        <w:spacing w:after="0" w:line="240" w:lineRule="auto"/>
        <w:rPr>
          <w:color w:val="1f1f1f"/>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Fonts w:ascii="Arial" w:cs="Arial" w:eastAsia="Arial" w:hAnsi="Arial"/>
          <w:color w:val="1f1f1f"/>
          <w:rtl w:val="0"/>
        </w:rPr>
        <w:t xml:space="preserve">The PEICS PoC optimizes existing open-source infrastructure to eliminate the need for custom capital expenditures. By leveraging Moodle's modular relational architecture, we create a specialized DOH compliance plugin.</w:t>
      </w:r>
      <w:r w:rsidDel="00000000" w:rsidR="00000000" w:rsidRPr="00000000">
        <w:rPr>
          <w:rtl w:val="0"/>
        </w:rPr>
      </w:r>
    </w:p>
    <w:p w:rsidR="00000000" w:rsidDel="00000000" w:rsidP="00000000" w:rsidRDefault="00000000" w:rsidRPr="00000000" w14:paraId="0000003A">
      <w:pPr>
        <w:numPr>
          <w:ilvl w:val="0"/>
          <w:numId w:val="3"/>
        </w:numPr>
        <w:spacing w:after="0" w:line="240" w:lineRule="auto"/>
        <w:ind w:left="590.4" w:hanging="360"/>
      </w:pPr>
      <w:r w:rsidDel="00000000" w:rsidR="00000000" w:rsidRPr="00000000">
        <w:rPr>
          <w:rFonts w:ascii="Arial" w:cs="Arial" w:eastAsia="Arial" w:hAnsi="Arial"/>
          <w:b w:val="1"/>
          <w:bCs w:val="1"/>
          <w:color w:val="1f1f1f"/>
          <w:rtl w:val="0"/>
        </w:rPr>
        <w:t xml:space="preserve">1. RESTful Ingestion Layer:</w:t>
      </w:r>
      <w:r w:rsidDel="00000000" w:rsidR="00000000" w:rsidRPr="00000000">
        <w:rPr>
          <w:rFonts w:ascii="Arial" w:cs="Arial" w:eastAsia="Arial" w:hAnsi="Arial"/>
          <w:color w:val="1f1f1f"/>
          <w:rtl w:val="0"/>
        </w:rPr>
        <w:t xml:space="preserve"> Data transport is facilitated via secure REST APIs. During demonstration, anonymized datasets (clinic completion deltas, trainer throughput) are transmitted as JSON objects. The backend logic parses these payloads and updates the relational database records in near real-time.</w:t>
      </w:r>
      <w:r w:rsidDel="00000000" w:rsidR="00000000" w:rsidRPr="00000000">
        <w:rPr>
          <w:rtl w:val="0"/>
        </w:rPr>
      </w:r>
    </w:p>
    <w:p w:rsidR="00000000" w:rsidDel="00000000" w:rsidP="00000000" w:rsidRDefault="00000000" w:rsidRPr="00000000" w14:paraId="0000003B">
      <w:pPr>
        <w:numPr>
          <w:ilvl w:val="0"/>
          <w:numId w:val="3"/>
        </w:numPr>
        <w:spacing w:after="0" w:line="240" w:lineRule="auto"/>
        <w:ind w:left="590.4" w:hanging="360"/>
      </w:pPr>
      <w:r w:rsidDel="00000000" w:rsidR="00000000" w:rsidRPr="00000000">
        <w:rPr>
          <w:rFonts w:ascii="Arial" w:cs="Arial" w:eastAsia="Arial" w:hAnsi="Arial"/>
          <w:b w:val="1"/>
          <w:bCs w:val="1"/>
          <w:color w:val="1f1f1f"/>
          <w:rtl w:val="0"/>
        </w:rPr>
        <w:t xml:space="preserve">2. Front-End Architecture (Tailwind CSS/JS):</w:t>
      </w:r>
      <w:r w:rsidDel="00000000" w:rsidR="00000000" w:rsidRPr="00000000">
        <w:rPr>
          <w:rFonts w:ascii="Arial" w:cs="Arial" w:eastAsia="Arial" w:hAnsi="Arial"/>
          <w:color w:val="1f1f1f"/>
          <w:rtl w:val="0"/>
        </w:rPr>
        <w:t xml:space="preserve"> The UI is a lightweight, mobile-responsive SPA (Single Page Application) built with Tailwind CSS. This decoupling allows for rapid iteration and high performance on lower-bandwidth mobile devices.</w:t>
      </w:r>
      <w:r w:rsidDel="00000000" w:rsidR="00000000" w:rsidRPr="00000000">
        <w:rPr>
          <w:rtl w:val="0"/>
        </w:rPr>
      </w:r>
    </w:p>
    <w:p w:rsidR="00000000" w:rsidDel="00000000" w:rsidP="00000000" w:rsidRDefault="00000000" w:rsidRPr="00000000" w14:paraId="0000003C">
      <w:pPr>
        <w:numPr>
          <w:ilvl w:val="2"/>
          <w:numId w:val="4"/>
        </w:numPr>
        <w:spacing w:after="0" w:line="240" w:lineRule="auto"/>
        <w:ind w:left="2160" w:hanging="360"/>
      </w:pPr>
      <w:r w:rsidDel="00000000" w:rsidR="00000000" w:rsidRPr="00000000">
        <w:rPr>
          <w:rFonts w:ascii="Arial" w:cs="Arial" w:eastAsia="Arial" w:hAnsi="Arial"/>
          <w:i w:val="1"/>
          <w:iCs w:val="1"/>
          <w:color w:val="1f1f1f"/>
          <w:rtl w:val="0"/>
        </w:rPr>
        <w:t xml:space="preserve">Module A (Real-Time Compliance Aggregator):</w:t>
      </w:r>
      <w:r w:rsidDel="00000000" w:rsidR="00000000" w:rsidRPr="00000000">
        <w:rPr>
          <w:rFonts w:ascii="Arial" w:cs="Arial" w:eastAsia="Arial" w:hAnsi="Arial"/>
          <w:color w:val="1f1f1f"/>
          <w:rtl w:val="0"/>
        </w:rPr>
        <w:t xml:space="preserve"> Visualizes the 45-day and 30-day timeline completion percentages across all regional nodes.</w:t>
      </w:r>
      <w:r w:rsidDel="00000000" w:rsidR="00000000" w:rsidRPr="00000000">
        <w:rPr>
          <w:rtl w:val="0"/>
        </w:rPr>
      </w:r>
    </w:p>
    <w:p w:rsidR="00000000" w:rsidDel="00000000" w:rsidP="00000000" w:rsidRDefault="00000000" w:rsidRPr="00000000" w14:paraId="0000003D">
      <w:pPr>
        <w:numPr>
          <w:ilvl w:val="2"/>
          <w:numId w:val="4"/>
        </w:numPr>
        <w:spacing w:after="0" w:line="240" w:lineRule="auto"/>
        <w:ind w:left="2160" w:hanging="360"/>
      </w:pPr>
      <w:r w:rsidDel="00000000" w:rsidR="00000000" w:rsidRPr="00000000">
        <w:rPr>
          <w:rFonts w:ascii="Arial" w:cs="Arial" w:eastAsia="Arial" w:hAnsi="Arial"/>
          <w:i w:val="1"/>
          <w:iCs w:val="1"/>
          <w:color w:val="1f1f1f"/>
          <w:rtl w:val="0"/>
        </w:rPr>
        <w:t xml:space="preserve">Module B (Predictive Risk Modeling):</w:t>
      </w:r>
      <w:r w:rsidDel="00000000" w:rsidR="00000000" w:rsidRPr="00000000">
        <w:rPr>
          <w:rFonts w:ascii="Arial" w:cs="Arial" w:eastAsia="Arial" w:hAnsi="Arial"/>
          <w:color w:val="1f1f1f"/>
          <w:rtl w:val="0"/>
        </w:rPr>
        <w:t xml:space="preserve"> Utilizing weighted variables (e.g., staff vacancy rates, training stagnation), the system flags clinics with high statistical probability of impending non-compliance.</w:t>
      </w:r>
      <w:r w:rsidDel="00000000" w:rsidR="00000000" w:rsidRPr="00000000">
        <w:rPr>
          <w:rtl w:val="0"/>
        </w:rPr>
      </w:r>
    </w:p>
    <w:p w:rsidR="00000000" w:rsidDel="00000000" w:rsidP="00000000" w:rsidRDefault="00000000" w:rsidRPr="00000000" w14:paraId="0000003E">
      <w:pPr>
        <w:numPr>
          <w:ilvl w:val="2"/>
          <w:numId w:val="4"/>
        </w:numPr>
        <w:spacing w:after="0" w:line="240" w:lineRule="auto"/>
        <w:ind w:left="2160" w:hanging="360"/>
      </w:pPr>
      <w:r w:rsidDel="00000000" w:rsidR="00000000" w:rsidRPr="00000000">
        <w:rPr>
          <w:rFonts w:ascii="Arial" w:cs="Arial" w:eastAsia="Arial" w:hAnsi="Arial"/>
          <w:i w:val="1"/>
          <w:iCs w:val="1"/>
          <w:color w:val="1f1f1f"/>
          <w:rtl w:val="0"/>
        </w:rPr>
        <w:t xml:space="preserve">Module C (Parental Engagement &amp; Consent Tracking):</w:t>
      </w:r>
      <w:r w:rsidDel="00000000" w:rsidR="00000000" w:rsidRPr="00000000">
        <w:rPr>
          <w:rFonts w:ascii="Arial" w:cs="Arial" w:eastAsia="Arial" w:hAnsi="Arial"/>
          <w:color w:val="1f1f1f"/>
          <w:rtl w:val="0"/>
        </w:rPr>
        <w:t xml:space="preserve"> A granular interface for logging family-centered service delivery metrics, mapped to IDEA Part C compliance indicators.</w:t>
      </w:r>
      <w:r w:rsidDel="00000000" w:rsidR="00000000" w:rsidRPr="00000000">
        <w:rPr>
          <w:rtl w:val="0"/>
        </w:rPr>
      </w:r>
    </w:p>
    <w:p w:rsidR="00000000" w:rsidDel="00000000" w:rsidP="00000000" w:rsidRDefault="00000000" w:rsidRPr="00000000" w14:paraId="0000003F">
      <w:pPr>
        <w:numPr>
          <w:ilvl w:val="0"/>
          <w:numId w:val="3"/>
        </w:numPr>
        <w:spacing w:after="0" w:line="240" w:lineRule="auto"/>
        <w:ind w:left="590.4" w:hanging="360"/>
      </w:pPr>
      <w:r w:rsidDel="00000000" w:rsidR="00000000" w:rsidRPr="00000000">
        <w:rPr>
          <w:rFonts w:ascii="Arial" w:cs="Arial" w:eastAsia="Arial" w:hAnsi="Arial"/>
          <w:b w:val="1"/>
          <w:bCs w:val="1"/>
          <w:color w:val="1f1f1f"/>
          <w:rtl w:val="0"/>
        </w:rPr>
        <w:t xml:space="preserve">3. Deployment Demonstration (Secure Tunneling):</w:t>
      </w:r>
      <w:r w:rsidDel="00000000" w:rsidR="00000000" w:rsidRPr="00000000">
        <w:rPr>
          <w:rFonts w:ascii="Arial" w:cs="Arial" w:eastAsia="Arial" w:hAnsi="Arial"/>
          <w:color w:val="1f1f1f"/>
          <w:rtl w:val="0"/>
        </w:rPr>
        <w:t xml:space="preserve"> The demonstration environment utilizes an encrypted secure tunnel (e.g., Ngrok) to host the interactive dashboard. By scanning the provisioned QR code, stakeholders establish a secure connection to the PoC environment, allowing for live interaction with the Tailwind dashboard on mobile hardware.</w:t>
      </w:r>
    </w:p>
    <w:p w:rsidR="00000000" w:rsidDel="00000000" w:rsidP="00000000" w:rsidRDefault="00000000" w:rsidRPr="00000000" w14:paraId="00000040">
      <w:pPr>
        <w:spacing w:after="0" w:line="240" w:lineRule="auto"/>
        <w:ind w:left="590.3999984264374" w:firstLine="0"/>
        <w:rPr>
          <w:color w:val="1f1f1f"/>
        </w:rPr>
      </w:pPr>
      <w:r w:rsidDel="00000000" w:rsidR="00000000" w:rsidRPr="00000000">
        <w:rPr>
          <w:rtl w:val="0"/>
        </w:rPr>
      </w:r>
    </w:p>
    <w:p w:rsidR="00000000" w:rsidDel="00000000" w:rsidP="00000000" w:rsidRDefault="00000000" w:rsidRPr="00000000" w14:paraId="00000041">
      <w:pPr>
        <w:spacing w:after="0" w:line="240" w:lineRule="auto"/>
        <w:rPr>
          <w:b w:val="1"/>
          <w:bCs w:val="1"/>
        </w:rPr>
      </w:pPr>
      <w:r w:rsidDel="00000000" w:rsidR="00000000" w:rsidRPr="00000000">
        <w:rPr>
          <w:b w:val="1"/>
          <w:bCs w:val="1"/>
          <w:color w:val="1f1f1f"/>
          <w:rtl w:val="0"/>
        </w:rPr>
        <w:t xml:space="preserve">Conclusion: Strategic Technical Impact</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Fonts w:ascii="Arial" w:cs="Arial" w:eastAsia="Arial" w:hAnsi="Arial"/>
          <w:color w:val="1f1f1f"/>
          <w:rtl w:val="0"/>
        </w:rPr>
        <w:t xml:space="preserve">This PoC demonstrates four critical system-level proficiencies:</w:t>
      </w:r>
      <w:r w:rsidDel="00000000" w:rsidR="00000000" w:rsidRPr="00000000">
        <w:rPr>
          <w:rtl w:val="0"/>
        </w:rPr>
      </w:r>
    </w:p>
    <w:p w:rsidR="00000000" w:rsidDel="00000000" w:rsidP="00000000" w:rsidRDefault="00000000" w:rsidRPr="00000000" w14:paraId="00000043">
      <w:pPr>
        <w:numPr>
          <w:ilvl w:val="0"/>
          <w:numId w:val="5"/>
        </w:numPr>
        <w:spacing w:after="0" w:line="240" w:lineRule="auto"/>
        <w:ind w:left="600" w:hanging="360"/>
      </w:pPr>
      <w:r w:rsidDel="00000000" w:rsidR="00000000" w:rsidRPr="00000000">
        <w:rPr>
          <w:rFonts w:ascii="Arial" w:cs="Arial" w:eastAsia="Arial" w:hAnsi="Arial"/>
          <w:b w:val="1"/>
          <w:bCs w:val="1"/>
          <w:color w:val="1f1f1f"/>
          <w:rtl w:val="0"/>
        </w:rPr>
        <w:t xml:space="preserve">Architectural Alignment:</w:t>
      </w:r>
      <w:r w:rsidDel="00000000" w:rsidR="00000000" w:rsidRPr="00000000">
        <w:rPr>
          <w:rFonts w:ascii="Arial" w:cs="Arial" w:eastAsia="Arial" w:hAnsi="Arial"/>
          <w:color w:val="1f1f1f"/>
          <w:rtl w:val="0"/>
        </w:rPr>
        <w:t xml:space="preserve"> Successful translation of pedagogical MTSS models into a robust compliance monitoring engine.</w:t>
      </w:r>
      <w:r w:rsidDel="00000000" w:rsidR="00000000" w:rsidRPr="00000000">
        <w:rPr>
          <w:rtl w:val="0"/>
        </w:rPr>
      </w:r>
    </w:p>
    <w:p w:rsidR="00000000" w:rsidDel="00000000" w:rsidP="00000000" w:rsidRDefault="00000000" w:rsidRPr="00000000" w14:paraId="00000044">
      <w:pPr>
        <w:numPr>
          <w:ilvl w:val="0"/>
          <w:numId w:val="5"/>
        </w:numPr>
        <w:spacing w:after="0" w:line="240" w:lineRule="auto"/>
        <w:ind w:left="600" w:hanging="360"/>
      </w:pPr>
      <w:r w:rsidDel="00000000" w:rsidR="00000000" w:rsidRPr="00000000">
        <w:rPr>
          <w:rFonts w:ascii="Arial" w:cs="Arial" w:eastAsia="Arial" w:hAnsi="Arial"/>
          <w:b w:val="1"/>
          <w:bCs w:val="1"/>
          <w:color w:val="1f1f1f"/>
          <w:rtl w:val="0"/>
        </w:rPr>
        <w:t xml:space="preserve">Fiscal Resourcefulness:</w:t>
      </w:r>
      <w:r w:rsidDel="00000000" w:rsidR="00000000" w:rsidRPr="00000000">
        <w:rPr>
          <w:rFonts w:ascii="Arial" w:cs="Arial" w:eastAsia="Arial" w:hAnsi="Arial"/>
          <w:color w:val="1f1f1f"/>
          <w:rtl w:val="0"/>
        </w:rPr>
        <w:t xml:space="preserve"> Optimization of open-source database backbones to achieve custom enterprise-level functionality.</w:t>
      </w:r>
      <w:r w:rsidDel="00000000" w:rsidR="00000000" w:rsidRPr="00000000">
        <w:rPr>
          <w:rtl w:val="0"/>
        </w:rPr>
      </w:r>
    </w:p>
    <w:p w:rsidR="00000000" w:rsidDel="00000000" w:rsidP="00000000" w:rsidRDefault="00000000" w:rsidRPr="00000000" w14:paraId="00000045">
      <w:pPr>
        <w:numPr>
          <w:ilvl w:val="0"/>
          <w:numId w:val="5"/>
        </w:numPr>
        <w:spacing w:after="0" w:line="240" w:lineRule="auto"/>
        <w:ind w:left="600" w:hanging="360"/>
      </w:pPr>
      <w:r w:rsidDel="00000000" w:rsidR="00000000" w:rsidRPr="00000000">
        <w:rPr>
          <w:rFonts w:ascii="Arial" w:cs="Arial" w:eastAsia="Arial" w:hAnsi="Arial"/>
          <w:b w:val="1"/>
          <w:bCs w:val="1"/>
          <w:color w:val="1f1f1f"/>
          <w:rtl w:val="0"/>
        </w:rPr>
        <w:t xml:space="preserve">Hardened Data Governance:</w:t>
      </w:r>
      <w:r w:rsidDel="00000000" w:rsidR="00000000" w:rsidRPr="00000000">
        <w:rPr>
          <w:rFonts w:ascii="Arial" w:cs="Arial" w:eastAsia="Arial" w:hAnsi="Arial"/>
          <w:color w:val="1f1f1f"/>
          <w:rtl w:val="0"/>
        </w:rPr>
        <w:t xml:space="preserve"> Native integration of FERPA, HIPAA, and G-M-A-T protocols at the architectural level.</w:t>
      </w:r>
      <w:r w:rsidDel="00000000" w:rsidR="00000000" w:rsidRPr="00000000">
        <w:rPr>
          <w:rtl w:val="0"/>
        </w:rPr>
      </w:r>
    </w:p>
    <w:p w:rsidR="00000000" w:rsidDel="00000000" w:rsidP="00000000" w:rsidRDefault="00000000" w:rsidRPr="00000000" w14:paraId="00000046">
      <w:pPr>
        <w:numPr>
          <w:ilvl w:val="0"/>
          <w:numId w:val="5"/>
        </w:numPr>
        <w:spacing w:after="0" w:line="240" w:lineRule="auto"/>
        <w:ind w:left="600" w:hanging="360"/>
      </w:pPr>
      <w:r w:rsidDel="00000000" w:rsidR="00000000" w:rsidRPr="00000000">
        <w:rPr>
          <w:rFonts w:ascii="Arial" w:cs="Arial" w:eastAsia="Arial" w:hAnsi="Arial"/>
          <w:b w:val="1"/>
          <w:bCs w:val="1"/>
          <w:color w:val="1f1f1f"/>
          <w:rtl w:val="0"/>
        </w:rPr>
        <w:t xml:space="preserve">Operational Efficacy:</w:t>
      </w:r>
      <w:r w:rsidDel="00000000" w:rsidR="00000000" w:rsidRPr="00000000">
        <w:rPr>
          <w:rFonts w:ascii="Arial" w:cs="Arial" w:eastAsia="Arial" w:hAnsi="Arial"/>
          <w:color w:val="1f1f1f"/>
          <w:rtl w:val="0"/>
        </w:rPr>
        <w:t xml:space="preserve"> Mitigation of administrative latency through predictive, automated intelligence, optimizing Specialist III resource allocation.</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line="240" w:lineRule="auto"/>
        <w:ind w:left="600" w:firstLine="0"/>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